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5204B" w14:textId="5C1C91EF" w:rsidR="00F66FC5" w:rsidRDefault="00F66FC5" w:rsidP="00F66FC5">
      <w:pPr>
        <w:tabs>
          <w:tab w:val="left" w:pos="1800"/>
          <w:tab w:val="right" w:pos="9360"/>
        </w:tabs>
        <w:spacing w:after="0"/>
        <w:jc w:val="both"/>
        <w:rPr>
          <w:rFonts w:cs="Arial"/>
          <w:b/>
        </w:rPr>
      </w:pPr>
      <w:r>
        <w:rPr>
          <w:rFonts w:cs="Arial"/>
          <w:b/>
        </w:rPr>
        <w:t>3GPP TSG-RAN WG1 Meeting #94</w:t>
      </w:r>
      <w:r>
        <w:rPr>
          <w:rFonts w:cs="Arial"/>
          <w:b/>
        </w:rPr>
        <w:tab/>
        <w:t>R1-18</w:t>
      </w:r>
      <w:r w:rsidR="00187AD4">
        <w:rPr>
          <w:rFonts w:cs="Arial"/>
          <w:b/>
        </w:rPr>
        <w:t>09273</w:t>
      </w:r>
    </w:p>
    <w:p w14:paraId="0F94B7EA" w14:textId="77777777" w:rsidR="00F66FC5" w:rsidRDefault="00F66FC5" w:rsidP="00F66FC5">
      <w:pPr>
        <w:widowControl w:val="0"/>
        <w:overflowPunct w:val="0"/>
        <w:autoSpaceDE w:val="0"/>
        <w:autoSpaceDN w:val="0"/>
        <w:adjustRightInd w:val="0"/>
        <w:spacing w:after="0" w:line="240" w:lineRule="auto"/>
        <w:textAlignment w:val="baseline"/>
        <w:rPr>
          <w:rFonts w:cs="Arial"/>
          <w:b/>
          <w:bCs/>
          <w:noProof/>
          <w:color w:val="000000"/>
          <w:lang w:eastAsia="zh-CN"/>
        </w:rPr>
      </w:pPr>
      <w:r>
        <w:rPr>
          <w:rFonts w:cs="Arial"/>
          <w:b/>
          <w:bCs/>
          <w:noProof/>
          <w:lang w:eastAsia="zh-CN"/>
        </w:rPr>
        <w:t>Gothenburg, Sweden, August 20</w:t>
      </w:r>
      <w:r>
        <w:rPr>
          <w:rFonts w:cs="Arial"/>
          <w:b/>
          <w:bCs/>
          <w:noProof/>
          <w:vertAlign w:val="superscript"/>
          <w:lang w:eastAsia="zh-CN"/>
        </w:rPr>
        <w:t>th</w:t>
      </w:r>
      <w:r>
        <w:rPr>
          <w:rFonts w:cs="Arial"/>
          <w:b/>
          <w:bCs/>
          <w:noProof/>
          <w:lang w:eastAsia="zh-CN"/>
        </w:rPr>
        <w:t xml:space="preserve">  – 24</w:t>
      </w:r>
      <w:r>
        <w:rPr>
          <w:rFonts w:cs="Arial"/>
          <w:b/>
          <w:bCs/>
          <w:noProof/>
          <w:vertAlign w:val="superscript"/>
          <w:lang w:eastAsia="zh-CN"/>
        </w:rPr>
        <w:t>th</w:t>
      </w:r>
      <w:r>
        <w:rPr>
          <w:rFonts w:cs="Arial"/>
          <w:b/>
          <w:bCs/>
          <w:noProof/>
          <w:lang w:eastAsia="zh-CN"/>
        </w:rPr>
        <w:t xml:space="preserve"> , 2018</w:t>
      </w:r>
    </w:p>
    <w:p w14:paraId="5CC8885B" w14:textId="77777777" w:rsidR="005A2686" w:rsidRPr="00F66FC5" w:rsidRDefault="005A2686" w:rsidP="005A2686">
      <w:pPr>
        <w:pStyle w:val="3GPPHeader"/>
        <w:spacing w:line="240" w:lineRule="auto"/>
      </w:pPr>
    </w:p>
    <w:p w14:paraId="3CE85B44" w14:textId="2875DDA7" w:rsidR="005A2686" w:rsidRPr="00F66FC5" w:rsidRDefault="005A2686" w:rsidP="005A2686">
      <w:pPr>
        <w:pStyle w:val="3GPPHeader"/>
        <w:spacing w:line="240" w:lineRule="auto"/>
      </w:pPr>
      <w:r w:rsidRPr="00F66FC5">
        <w:t>Source:</w:t>
      </w:r>
      <w:r w:rsidRPr="00F66FC5">
        <w:tab/>
        <w:t>Ericsson</w:t>
      </w:r>
      <w:r w:rsidRPr="00F66FC5">
        <w:br/>
        <w:t>Title:</w:t>
      </w:r>
      <w:r w:rsidRPr="00F66FC5">
        <w:tab/>
      </w:r>
      <w:r w:rsidR="00DF62F7" w:rsidRPr="00DF62F7">
        <w:rPr>
          <w:rFonts w:cs="Arial"/>
        </w:rPr>
        <w:t>IMT-2020 self-evaluation: Radio Network Energy Performance - LTE</w:t>
      </w:r>
      <w:bookmarkStart w:id="0" w:name="_GoBack"/>
      <w:bookmarkEnd w:id="0"/>
      <w:r w:rsidRPr="00F66FC5">
        <w:br/>
        <w:t>Agenda Item:</w:t>
      </w:r>
      <w:r w:rsidRPr="00F66FC5">
        <w:tab/>
      </w:r>
      <w:r w:rsidR="00F66FC5" w:rsidRPr="00F66FC5">
        <w:t>7.2.7</w:t>
      </w:r>
      <w:r w:rsidR="00187AD4">
        <w:t>.2</w:t>
      </w:r>
      <w:r w:rsidRPr="00F66FC5">
        <w:br/>
        <w:t>Document for:</w:t>
      </w:r>
      <w:r w:rsidRPr="00F66FC5">
        <w:tab/>
        <w:t>Discussion</w:t>
      </w:r>
    </w:p>
    <w:p w14:paraId="52F630C8" w14:textId="77777777" w:rsidR="00E90E49" w:rsidRPr="006877C1" w:rsidRDefault="00E90E49" w:rsidP="00CE0424">
      <w:pPr>
        <w:pStyle w:val="Heading1"/>
        <w:rPr>
          <w:lang w:val="en-US"/>
        </w:rPr>
      </w:pPr>
      <w:r w:rsidRPr="006877C1">
        <w:rPr>
          <w:lang w:val="en-US"/>
        </w:rPr>
        <w:t>Introduction</w:t>
      </w:r>
    </w:p>
    <w:p w14:paraId="5163B3F9" w14:textId="4F4D934F" w:rsidR="008D55F1" w:rsidRPr="00F66FC5" w:rsidRDefault="00F10917" w:rsidP="00C13283">
      <w:pPr>
        <w:pStyle w:val="BodyText"/>
      </w:pPr>
      <w:bookmarkStart w:id="1" w:name="_Ref178064866"/>
      <w:r w:rsidRPr="00F66FC5">
        <w:t xml:space="preserve">Network energy efficiency is selected as one of thirteen performance requirements for IMT-2020. In </w:t>
      </w:r>
      <w:r w:rsidR="008D55F1" w:rsidRPr="00C13283">
        <w:fldChar w:fldCharType="begin"/>
      </w:r>
      <w:r w:rsidR="008D55F1" w:rsidRPr="00F66FC5">
        <w:instrText xml:space="preserve"> REF _Ref473903597 \r \h </w:instrText>
      </w:r>
      <w:r w:rsidR="00C13283" w:rsidRPr="00F66FC5">
        <w:instrText xml:space="preserve"> \* MERGEFORMAT </w:instrText>
      </w:r>
      <w:r w:rsidR="008D55F1" w:rsidRPr="00C13283">
        <w:fldChar w:fldCharType="separate"/>
      </w:r>
      <w:r w:rsidR="004C47DF" w:rsidRPr="00F66FC5">
        <w:t>[1]</w:t>
      </w:r>
      <w:r w:rsidR="008D55F1" w:rsidRPr="00C13283">
        <w:fldChar w:fldCharType="end"/>
      </w:r>
      <w:r w:rsidR="008D55F1" w:rsidRPr="00F66FC5">
        <w:t>-</w:t>
      </w:r>
      <w:r w:rsidR="00313D55" w:rsidRPr="00C13283">
        <w:fldChar w:fldCharType="begin"/>
      </w:r>
      <w:r w:rsidR="00313D55" w:rsidRPr="00F66FC5">
        <w:instrText xml:space="preserve"> REF _Ref518294408 \r \h </w:instrText>
      </w:r>
      <w:r w:rsidR="00C13283" w:rsidRPr="00F66FC5">
        <w:instrText xml:space="preserve"> \* MERGEFORMAT </w:instrText>
      </w:r>
      <w:r w:rsidR="00313D55" w:rsidRPr="00C13283">
        <w:fldChar w:fldCharType="separate"/>
      </w:r>
      <w:r w:rsidR="004C47DF" w:rsidRPr="00F66FC5">
        <w:t>[4]</w:t>
      </w:r>
      <w:r w:rsidR="00313D55" w:rsidRPr="00C13283">
        <w:fldChar w:fldCharType="end"/>
      </w:r>
      <w:r w:rsidRPr="00F66FC5">
        <w:t xml:space="preserve"> we present</w:t>
      </w:r>
      <w:r w:rsidR="00313D55" w:rsidRPr="00F66FC5">
        <w:t>ed</w:t>
      </w:r>
      <w:r w:rsidRPr="00F66FC5">
        <w:t xml:space="preserve"> </w:t>
      </w:r>
      <w:r w:rsidR="008D55F1" w:rsidRPr="00F66FC5">
        <w:t>various</w:t>
      </w:r>
      <w:r w:rsidR="00313D55" w:rsidRPr="00F66FC5">
        <w:t xml:space="preserve"> assessment</w:t>
      </w:r>
      <w:r w:rsidR="008D55F1" w:rsidRPr="00F66FC5">
        <w:t>s</w:t>
      </w:r>
      <w:r w:rsidRPr="00F66FC5">
        <w:t xml:space="preserve"> </w:t>
      </w:r>
      <w:r w:rsidR="00313D55" w:rsidRPr="00F66FC5">
        <w:t>on the energy performance of 3GPP New Radio (NR)</w:t>
      </w:r>
      <w:r w:rsidRPr="00F66FC5">
        <w:t>.</w:t>
      </w:r>
      <w:r w:rsidR="00313D55" w:rsidRPr="00F66FC5">
        <w:t xml:space="preserve"> In this contribution we present how LTE </w:t>
      </w:r>
      <w:r w:rsidR="008D55F1" w:rsidRPr="00F66FC5">
        <w:t xml:space="preserve">can be </w:t>
      </w:r>
      <w:r w:rsidR="007974C8" w:rsidRPr="00F66FC5">
        <w:t xml:space="preserve">configured, operated, and </w:t>
      </w:r>
      <w:r w:rsidR="008D55F1" w:rsidRPr="00F66FC5">
        <w:t xml:space="preserve">deployed such that it also </w:t>
      </w:r>
      <w:r w:rsidR="00313D55" w:rsidRPr="00F66FC5">
        <w:t>fulfils the IMT-2020 requirements on radio network energy efficiency.</w:t>
      </w:r>
    </w:p>
    <w:p w14:paraId="5D8FECC8" w14:textId="77777777" w:rsidR="00023E8E" w:rsidRPr="006877C1" w:rsidRDefault="00023E8E" w:rsidP="008D2453">
      <w:pPr>
        <w:pStyle w:val="Heading1"/>
        <w:rPr>
          <w:lang w:val="en-US"/>
        </w:rPr>
      </w:pPr>
      <w:r w:rsidRPr="006877C1">
        <w:rPr>
          <w:lang w:val="en-US"/>
        </w:rPr>
        <w:t>Discussion</w:t>
      </w:r>
      <w:bookmarkEnd w:id="1"/>
    </w:p>
    <w:p w14:paraId="67C87373" w14:textId="262E7ACB" w:rsidR="00DE3F98" w:rsidRPr="00F66FC5" w:rsidRDefault="00DE3F98" w:rsidP="005444B3">
      <w:pPr>
        <w:pStyle w:val="BodyText"/>
        <w:keepNext/>
      </w:pPr>
      <w:r w:rsidRPr="00F66FC5">
        <w:t>The total radio network energy consumption has been gradually increasing for the last decades</w:t>
      </w:r>
      <w:r w:rsidR="00800EF8" w:rsidRPr="00F66FC5">
        <w:t xml:space="preserve">, see </w:t>
      </w:r>
      <w:r w:rsidR="00800EF8">
        <w:fldChar w:fldCharType="begin"/>
      </w:r>
      <w:r w:rsidR="00800EF8" w:rsidRPr="00F66FC5">
        <w:instrText xml:space="preserve"> REF _Ref518375191 \h </w:instrText>
      </w:r>
      <w:r w:rsidR="00800EF8">
        <w:fldChar w:fldCharType="separate"/>
      </w:r>
      <w:r w:rsidR="004C47DF" w:rsidRPr="00F66FC5">
        <w:t xml:space="preserve">Figure </w:t>
      </w:r>
      <w:r w:rsidR="004C47DF" w:rsidRPr="00F66FC5">
        <w:rPr>
          <w:noProof/>
        </w:rPr>
        <w:t>1</w:t>
      </w:r>
      <w:r w:rsidR="00800EF8">
        <w:fldChar w:fldCharType="end"/>
      </w:r>
      <w:r w:rsidRPr="00F66FC5">
        <w:t xml:space="preserve">. The increase in network energy consumption </w:t>
      </w:r>
      <w:r w:rsidR="00800EF8" w:rsidRPr="00F66FC5">
        <w:t xml:space="preserve">has historically </w:t>
      </w:r>
      <w:r w:rsidRPr="00F66FC5">
        <w:t xml:space="preserve">closely </w:t>
      </w:r>
      <w:r w:rsidR="00800EF8" w:rsidRPr="00F66FC5">
        <w:t>followed</w:t>
      </w:r>
      <w:r w:rsidRPr="00F66FC5">
        <w:t xml:space="preserve"> the rollout of new nodes in the network. Until now, each time a new generation </w:t>
      </w:r>
      <w:r w:rsidR="00800EF8" w:rsidRPr="00F66FC5">
        <w:t>has been</w:t>
      </w:r>
      <w:r w:rsidRPr="00F66FC5">
        <w:t xml:space="preserve"> introduced</w:t>
      </w:r>
      <w:r w:rsidR="00800EF8" w:rsidRPr="00F66FC5">
        <w:t>,</w:t>
      </w:r>
      <w:r w:rsidRPr="00F66FC5">
        <w:t xml:space="preserve"> </w:t>
      </w:r>
      <w:r w:rsidR="00800EF8" w:rsidRPr="00F66FC5">
        <w:t>many</w:t>
      </w:r>
      <w:r w:rsidRPr="00F66FC5">
        <w:t xml:space="preserve"> new nodes </w:t>
      </w:r>
      <w:r w:rsidR="00800EF8" w:rsidRPr="00F66FC5">
        <w:t>have been</w:t>
      </w:r>
      <w:r w:rsidRPr="00F66FC5">
        <w:t xml:space="preserve"> installed and consequently the energy consumption has increased proportionally. Previous studies </w:t>
      </w:r>
      <w:r w:rsidR="009C1D18" w:rsidRPr="00F66FC5">
        <w:t xml:space="preserve">(e.g. </w:t>
      </w:r>
      <w:r w:rsidR="009C1D18">
        <w:fldChar w:fldCharType="begin"/>
      </w:r>
      <w:r w:rsidR="009C1D18" w:rsidRPr="00F66FC5">
        <w:instrText xml:space="preserve"> REF _Ref518388551 \r \h </w:instrText>
      </w:r>
      <w:r w:rsidR="009C1D18">
        <w:fldChar w:fldCharType="separate"/>
      </w:r>
      <w:r w:rsidR="004C47DF" w:rsidRPr="00F66FC5">
        <w:t>[15]</w:t>
      </w:r>
      <w:r w:rsidR="009C1D18">
        <w:fldChar w:fldCharType="end"/>
      </w:r>
      <w:r w:rsidR="009C1D18" w:rsidRPr="00F66FC5">
        <w:t>)</w:t>
      </w:r>
      <w:r w:rsidRPr="00F66FC5">
        <w:t xml:space="preserve"> have shown that the</w:t>
      </w:r>
      <w:r w:rsidR="00800EF8" w:rsidRPr="00F66FC5">
        <w:t xml:space="preserve"> energy consumption</w:t>
      </w:r>
      <w:r w:rsidRPr="00F66FC5">
        <w:t xml:space="preserve"> dependence </w:t>
      </w:r>
      <w:r w:rsidR="00800EF8" w:rsidRPr="00F66FC5">
        <w:t xml:space="preserve">on traffic load </w:t>
      </w:r>
      <w:r w:rsidRPr="00F66FC5">
        <w:t>in 2G-4G is very low, primarily due to the transmission of always on reference signals and channels.</w:t>
      </w:r>
    </w:p>
    <w:p w14:paraId="210AF9AE" w14:textId="461A65B9" w:rsidR="005444B3" w:rsidRPr="00F66FC5" w:rsidRDefault="00DE3F98" w:rsidP="005444B3">
      <w:pPr>
        <w:pStyle w:val="BodyText"/>
        <w:keepNext/>
      </w:pPr>
      <w:r w:rsidRPr="00F66FC5">
        <w:t xml:space="preserve">The 3GPP New Radio (NR) standard is expected to </w:t>
      </w:r>
      <w:r w:rsidR="00800EF8" w:rsidRPr="00F66FC5">
        <w:t xml:space="preserve">help to </w:t>
      </w:r>
      <w:r w:rsidRPr="00F66FC5">
        <w:t xml:space="preserve">break this trend due to the lean design of the physical layer, where only a minimal amount of mandatory signaling is defined for </w:t>
      </w:r>
      <w:proofErr w:type="spellStart"/>
      <w:r w:rsidRPr="00F66FC5">
        <w:t>gNB</w:t>
      </w:r>
      <w:proofErr w:type="spellEnd"/>
      <w:r w:rsidRPr="00F66FC5">
        <w:t xml:space="preserve"> idle mode operation. But even if NR base stations can be made to operate with extremely low average power usage </w:t>
      </w:r>
      <w:r w:rsidR="00800EF8" w:rsidRPr="00F66FC5">
        <w:t xml:space="preserve">compared to base stations of any previous generation, </w:t>
      </w:r>
      <w:r w:rsidRPr="00F66FC5">
        <w:t xml:space="preserve">the total network energy consumption will increase in case we don’t also address existing standards. Granted, the increase in energy consumption will be smaller </w:t>
      </w:r>
      <w:r w:rsidR="00800EF8" w:rsidRPr="00F66FC5">
        <w:t>that it could otherer wise have been, but by only adding NR we can never reduce the total radio network energy consumption</w:t>
      </w:r>
      <w:r w:rsidR="005444B3" w:rsidRPr="00F66FC5">
        <w:t>.</w:t>
      </w:r>
    </w:p>
    <w:p w14:paraId="60BD831C" w14:textId="5F8FFE0E" w:rsidR="00A53EA2" w:rsidRDefault="0002434D" w:rsidP="00A53EA2">
      <w:pPr>
        <w:pStyle w:val="BodyText"/>
        <w:keepNext/>
        <w:jc w:val="center"/>
      </w:pPr>
      <w:r>
        <w:rPr>
          <w:noProof/>
        </w:rPr>
        <w:drawing>
          <wp:inline distT="0" distB="0" distL="0" distR="0" wp14:anchorId="3A47AEAE" wp14:editId="7B08A7B1">
            <wp:extent cx="4151630" cy="1737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6106" cy="1743824"/>
                    </a:xfrm>
                    <a:prstGeom prst="rect">
                      <a:avLst/>
                    </a:prstGeom>
                    <a:noFill/>
                  </pic:spPr>
                </pic:pic>
              </a:graphicData>
            </a:graphic>
          </wp:inline>
        </w:drawing>
      </w:r>
    </w:p>
    <w:p w14:paraId="0F821ECD" w14:textId="22FAAA74" w:rsidR="00A53EA2" w:rsidRPr="00187AD4" w:rsidRDefault="00A53EA2" w:rsidP="009A6443">
      <w:pPr>
        <w:pStyle w:val="Caption"/>
        <w:jc w:val="left"/>
      </w:pPr>
      <w:bookmarkStart w:id="2" w:name="_Ref518375191"/>
      <w:bookmarkStart w:id="3" w:name="_Ref518375183"/>
      <w:r w:rsidRPr="00F66FC5">
        <w:t xml:space="preserve">Figure </w:t>
      </w:r>
      <w:r>
        <w:fldChar w:fldCharType="begin"/>
      </w:r>
      <w:r w:rsidRPr="00F66FC5">
        <w:instrText xml:space="preserve"> SEQ Figure \* ARABIC </w:instrText>
      </w:r>
      <w:r>
        <w:fldChar w:fldCharType="separate"/>
      </w:r>
      <w:r w:rsidR="004C47DF" w:rsidRPr="00F66FC5">
        <w:rPr>
          <w:noProof/>
        </w:rPr>
        <w:t>1</w:t>
      </w:r>
      <w:r>
        <w:fldChar w:fldCharType="end"/>
      </w:r>
      <w:bookmarkEnd w:id="2"/>
      <w:r w:rsidRPr="00F66FC5">
        <w:t xml:space="preserve">: </w:t>
      </w:r>
      <w:bookmarkEnd w:id="3"/>
      <w:r w:rsidR="00800EF8" w:rsidRPr="00F66FC5">
        <w:t xml:space="preserve">5G New Radio (NR) can only can reduce the energy growth rate. </w:t>
      </w:r>
      <w:r w:rsidR="00800EF8" w:rsidRPr="00187AD4">
        <w:t>Energy reductions require addressing legacy as well.</w:t>
      </w:r>
    </w:p>
    <w:p w14:paraId="5F1C66B9" w14:textId="04CC80D0" w:rsidR="00800EF8" w:rsidRPr="00F66FC5" w:rsidRDefault="00800EF8" w:rsidP="00800EF8">
      <w:r w:rsidRPr="00F66FC5">
        <w:t xml:space="preserve">In this contribution we will examine what can be done </w:t>
      </w:r>
      <w:proofErr w:type="gramStart"/>
      <w:r w:rsidRPr="00F66FC5">
        <w:t>in order to</w:t>
      </w:r>
      <w:proofErr w:type="gramEnd"/>
      <w:r w:rsidRPr="00F66FC5">
        <w:t xml:space="preserve"> reduce the energy consumption of LTE networks and we aim to show that also LTE can be deployed, configured, and operated such that IMT-2020 requirements on radio network energy consumptions are fulfilled.</w:t>
      </w:r>
    </w:p>
    <w:p w14:paraId="627848F3" w14:textId="0130DE31" w:rsidR="00F85240" w:rsidRDefault="00F85240" w:rsidP="005444B3">
      <w:pPr>
        <w:pStyle w:val="Heading2"/>
      </w:pPr>
      <w:r>
        <w:lastRenderedPageBreak/>
        <w:t xml:space="preserve">Increasing network DTX </w:t>
      </w:r>
    </w:p>
    <w:p w14:paraId="4AC8A6C9" w14:textId="05488ACD" w:rsidR="00800EF8" w:rsidRPr="00800EF8" w:rsidRDefault="00800EF8" w:rsidP="00800EF8">
      <w:pPr>
        <w:rPr>
          <w:lang w:val="en-GB" w:eastAsia="zh-CN"/>
        </w:rPr>
      </w:pPr>
      <w:r>
        <w:rPr>
          <w:lang w:val="en-GB" w:eastAsia="zh-CN"/>
        </w:rPr>
        <w:t xml:space="preserve">Network discontinuous transmission (DTX) is extremely efficient for reducing </w:t>
      </w:r>
      <w:proofErr w:type="spellStart"/>
      <w:r>
        <w:rPr>
          <w:lang w:val="en-GB" w:eastAsia="zh-CN"/>
        </w:rPr>
        <w:t>eNB</w:t>
      </w:r>
      <w:proofErr w:type="spellEnd"/>
      <w:r>
        <w:rPr>
          <w:lang w:val="en-GB" w:eastAsia="zh-CN"/>
        </w:rPr>
        <w:t xml:space="preserve"> energy consumption. </w:t>
      </w:r>
      <w:r w:rsidR="000615C3">
        <w:rPr>
          <w:lang w:val="en-GB" w:eastAsia="zh-CN"/>
        </w:rPr>
        <w:t xml:space="preserve">In LTE the default DTX time, i.e. the time between transmission of cell specific reference signals (CRSs), is approximately 0.2 </w:t>
      </w:r>
      <w:proofErr w:type="spellStart"/>
      <w:r w:rsidR="000615C3">
        <w:rPr>
          <w:lang w:val="en-GB" w:eastAsia="zh-CN"/>
        </w:rPr>
        <w:t>ms</w:t>
      </w:r>
      <w:proofErr w:type="spellEnd"/>
      <w:r w:rsidR="000615C3">
        <w:rPr>
          <w:lang w:val="en-GB" w:eastAsia="zh-CN"/>
        </w:rPr>
        <w:t xml:space="preserve">. In addition, the default DTX duration is approximately 50% (see </w:t>
      </w:r>
      <w:r w:rsidR="000615C3">
        <w:rPr>
          <w:highlight w:val="yellow"/>
          <w:lang w:val="en-GB" w:eastAsia="zh-CN"/>
        </w:rPr>
        <w:fldChar w:fldCharType="begin"/>
      </w:r>
      <w:r w:rsidR="000615C3">
        <w:rPr>
          <w:lang w:val="en-GB" w:eastAsia="zh-CN"/>
        </w:rPr>
        <w:instrText xml:space="preserve"> REF _Ref518294408 \r \h </w:instrText>
      </w:r>
      <w:r w:rsidR="000615C3">
        <w:rPr>
          <w:highlight w:val="yellow"/>
          <w:lang w:val="en-GB" w:eastAsia="zh-CN"/>
        </w:rPr>
      </w:r>
      <w:r w:rsidR="000615C3">
        <w:rPr>
          <w:highlight w:val="yellow"/>
          <w:lang w:val="en-GB" w:eastAsia="zh-CN"/>
        </w:rPr>
        <w:fldChar w:fldCharType="separate"/>
      </w:r>
      <w:r w:rsidR="004C47DF">
        <w:rPr>
          <w:lang w:val="en-GB" w:eastAsia="zh-CN"/>
        </w:rPr>
        <w:t>[4]</w:t>
      </w:r>
      <w:r w:rsidR="000615C3">
        <w:rPr>
          <w:highlight w:val="yellow"/>
          <w:lang w:val="en-GB" w:eastAsia="zh-CN"/>
        </w:rPr>
        <w:fldChar w:fldCharType="end"/>
      </w:r>
      <w:r w:rsidR="000615C3">
        <w:rPr>
          <w:lang w:val="en-GB" w:eastAsia="zh-CN"/>
        </w:rPr>
        <w:t>). Long DTX times enable deeper sleep levels with more components deactivated when the base station operates in sleep mode.</w:t>
      </w:r>
    </w:p>
    <w:p w14:paraId="56544A67" w14:textId="40B1D01B" w:rsidR="00F85240" w:rsidRDefault="00F85240" w:rsidP="00A51063">
      <w:pPr>
        <w:pStyle w:val="Heading3"/>
      </w:pPr>
      <w:r>
        <w:t xml:space="preserve">MBSFN </w:t>
      </w:r>
      <w:r w:rsidR="00873A38">
        <w:t>adaptation</w:t>
      </w:r>
    </w:p>
    <w:p w14:paraId="2B4F0173" w14:textId="637AFACF" w:rsidR="00873A38" w:rsidRPr="000615C3" w:rsidRDefault="000615C3" w:rsidP="000615C3">
      <w:pPr>
        <w:rPr>
          <w:lang w:val="en-GB" w:eastAsia="zh-CN"/>
        </w:rPr>
      </w:pPr>
      <w:r w:rsidRPr="009C1D18">
        <w:rPr>
          <w:lang w:val="en-GB" w:eastAsia="zh-CN"/>
        </w:rPr>
        <w:t xml:space="preserve">The maximum DTX time as well as the DTX radio can be significantly increased by configuring a cell with a maximum number of </w:t>
      </w:r>
      <w:r w:rsidR="006B43E7" w:rsidRPr="009C1D18">
        <w:rPr>
          <w:lang w:val="en-GB" w:eastAsia="zh-CN"/>
        </w:rPr>
        <w:t>6</w:t>
      </w:r>
      <w:r w:rsidRPr="009C1D18">
        <w:rPr>
          <w:lang w:val="en-GB" w:eastAsia="zh-CN"/>
        </w:rPr>
        <w:t xml:space="preserve"> MBSFN sub-frames, see </w:t>
      </w:r>
      <w:r w:rsidRPr="009C1D18">
        <w:rPr>
          <w:lang w:val="en-GB" w:eastAsia="zh-CN"/>
        </w:rPr>
        <w:fldChar w:fldCharType="begin"/>
      </w:r>
      <w:r w:rsidRPr="009C1D18">
        <w:rPr>
          <w:lang w:val="en-GB" w:eastAsia="zh-CN"/>
        </w:rPr>
        <w:instrText xml:space="preserve"> REF _Ref518376078 \h </w:instrText>
      </w:r>
      <w:r w:rsidR="009C1D18">
        <w:rPr>
          <w:lang w:val="en-GB" w:eastAsia="zh-CN"/>
        </w:rPr>
        <w:instrText xml:space="preserve"> \* MERGEFORMAT </w:instrText>
      </w:r>
      <w:r w:rsidRPr="009C1D18">
        <w:rPr>
          <w:lang w:val="en-GB" w:eastAsia="zh-CN"/>
        </w:rPr>
      </w:r>
      <w:r w:rsidRPr="009C1D18">
        <w:rPr>
          <w:lang w:val="en-GB" w:eastAsia="zh-CN"/>
        </w:rPr>
        <w:fldChar w:fldCharType="separate"/>
      </w:r>
      <w:r w:rsidR="004C47DF" w:rsidRPr="00F66FC5">
        <w:t xml:space="preserve">Figure </w:t>
      </w:r>
      <w:r w:rsidR="004C47DF" w:rsidRPr="00F66FC5">
        <w:rPr>
          <w:noProof/>
        </w:rPr>
        <w:t>2</w:t>
      </w:r>
      <w:r w:rsidRPr="009C1D18">
        <w:rPr>
          <w:lang w:val="en-GB" w:eastAsia="zh-CN"/>
        </w:rPr>
        <w:fldChar w:fldCharType="end"/>
      </w:r>
      <w:r w:rsidRPr="009C1D18">
        <w:rPr>
          <w:lang w:val="en-GB" w:eastAsia="zh-CN"/>
        </w:rPr>
        <w:t xml:space="preserve">. The maximum DTX time is increased to 13/14 </w:t>
      </w:r>
      <w:r w:rsidRPr="009C1D18">
        <w:rPr>
          <w:lang w:val="en-GB" w:eastAsia="zh-CN"/>
        </w:rPr>
        <w:sym w:font="Symbol" w:char="F0BB"/>
      </w:r>
      <w:r w:rsidRPr="009C1D18">
        <w:rPr>
          <w:lang w:val="en-GB" w:eastAsia="zh-CN"/>
        </w:rPr>
        <w:t xml:space="preserve"> 0.93 </w:t>
      </w:r>
      <w:proofErr w:type="spellStart"/>
      <w:r w:rsidRPr="009C1D18">
        <w:rPr>
          <w:lang w:val="en-GB" w:eastAsia="zh-CN"/>
        </w:rPr>
        <w:t>ms</w:t>
      </w:r>
      <w:proofErr w:type="spellEnd"/>
      <w:r w:rsidR="006B43E7" w:rsidRPr="009C1D18">
        <w:rPr>
          <w:lang w:val="en-GB" w:eastAsia="zh-CN"/>
        </w:rPr>
        <w:t>.</w:t>
      </w:r>
      <w:r w:rsidR="00873A38" w:rsidRPr="009C1D18">
        <w:rPr>
          <w:lang w:val="en-GB" w:eastAsia="zh-CN"/>
        </w:rPr>
        <w:t xml:space="preserve"> Studies have shown that this can reduce the </w:t>
      </w:r>
      <w:proofErr w:type="spellStart"/>
      <w:r w:rsidR="005B6900" w:rsidRPr="009C1D18">
        <w:rPr>
          <w:lang w:val="en-GB" w:eastAsia="zh-CN"/>
        </w:rPr>
        <w:t>e</w:t>
      </w:r>
      <w:r w:rsidR="00873A38" w:rsidRPr="009C1D18">
        <w:rPr>
          <w:lang w:val="en-GB" w:eastAsia="zh-CN"/>
        </w:rPr>
        <w:t>NB</w:t>
      </w:r>
      <w:proofErr w:type="spellEnd"/>
      <w:r w:rsidR="00873A38" w:rsidRPr="009C1D18">
        <w:rPr>
          <w:lang w:val="en-GB" w:eastAsia="zh-CN"/>
        </w:rPr>
        <w:t xml:space="preserve"> energy consumption by </w:t>
      </w:r>
      <w:r w:rsidR="009C1D18" w:rsidRPr="009C1D18">
        <w:rPr>
          <w:lang w:val="en-GB" w:eastAsia="zh-CN"/>
        </w:rPr>
        <w:t>up to 60</w:t>
      </w:r>
      <w:r w:rsidR="00873A38" w:rsidRPr="009C1D18">
        <w:rPr>
          <w:lang w:val="en-GB" w:eastAsia="zh-CN"/>
        </w:rPr>
        <w:t xml:space="preserve">% </w:t>
      </w:r>
      <w:r w:rsidR="00873A38" w:rsidRPr="009C1D18">
        <w:rPr>
          <w:lang w:val="en-GB" w:eastAsia="zh-CN"/>
        </w:rPr>
        <w:fldChar w:fldCharType="begin"/>
      </w:r>
      <w:r w:rsidR="00873A38" w:rsidRPr="009C1D18">
        <w:rPr>
          <w:lang w:val="en-GB" w:eastAsia="zh-CN"/>
        </w:rPr>
        <w:instrText xml:space="preserve"> REF _Ref518376355 \r \h </w:instrText>
      </w:r>
      <w:r w:rsidR="009C1D18">
        <w:rPr>
          <w:lang w:val="en-GB" w:eastAsia="zh-CN"/>
        </w:rPr>
        <w:instrText xml:space="preserve"> \* MERGEFORMAT </w:instrText>
      </w:r>
      <w:r w:rsidR="00873A38" w:rsidRPr="009C1D18">
        <w:rPr>
          <w:lang w:val="en-GB" w:eastAsia="zh-CN"/>
        </w:rPr>
      </w:r>
      <w:r w:rsidR="00873A38" w:rsidRPr="009C1D18">
        <w:rPr>
          <w:lang w:val="en-GB" w:eastAsia="zh-CN"/>
        </w:rPr>
        <w:fldChar w:fldCharType="separate"/>
      </w:r>
      <w:r w:rsidR="004C47DF">
        <w:rPr>
          <w:lang w:val="en-GB" w:eastAsia="zh-CN"/>
        </w:rPr>
        <w:t>[6]</w:t>
      </w:r>
      <w:r w:rsidR="00873A38" w:rsidRPr="009C1D18">
        <w:rPr>
          <w:lang w:val="en-GB" w:eastAsia="zh-CN"/>
        </w:rPr>
        <w:fldChar w:fldCharType="end"/>
      </w:r>
      <w:r w:rsidR="00873A38" w:rsidRPr="009C1D18">
        <w:rPr>
          <w:lang w:val="en-GB" w:eastAsia="zh-CN"/>
        </w:rPr>
        <w:fldChar w:fldCharType="begin"/>
      </w:r>
      <w:r w:rsidR="00873A38" w:rsidRPr="009C1D18">
        <w:rPr>
          <w:lang w:val="en-GB" w:eastAsia="zh-CN"/>
        </w:rPr>
        <w:instrText xml:space="preserve"> REF _Ref518376381 \r \h </w:instrText>
      </w:r>
      <w:r w:rsidR="009C1D18">
        <w:rPr>
          <w:lang w:val="en-GB" w:eastAsia="zh-CN"/>
        </w:rPr>
        <w:instrText xml:space="preserve"> \* MERGEFORMAT </w:instrText>
      </w:r>
      <w:r w:rsidR="00873A38" w:rsidRPr="009C1D18">
        <w:rPr>
          <w:lang w:val="en-GB" w:eastAsia="zh-CN"/>
        </w:rPr>
      </w:r>
      <w:r w:rsidR="00873A38" w:rsidRPr="009C1D18">
        <w:rPr>
          <w:lang w:val="en-GB" w:eastAsia="zh-CN"/>
        </w:rPr>
        <w:fldChar w:fldCharType="separate"/>
      </w:r>
      <w:r w:rsidR="004C47DF">
        <w:rPr>
          <w:lang w:val="en-GB" w:eastAsia="zh-CN"/>
        </w:rPr>
        <w:t>[7]</w:t>
      </w:r>
      <w:r w:rsidR="00873A38" w:rsidRPr="009C1D18">
        <w:rPr>
          <w:lang w:val="en-GB" w:eastAsia="zh-CN"/>
        </w:rPr>
        <w:fldChar w:fldCharType="end"/>
      </w:r>
      <w:r w:rsidR="00873A38" w:rsidRPr="009C1D18">
        <w:rPr>
          <w:lang w:val="en-GB" w:eastAsia="zh-CN"/>
        </w:rPr>
        <w:t>.</w:t>
      </w:r>
    </w:p>
    <w:p w14:paraId="2A58CD4E" w14:textId="77777777" w:rsidR="001620A1" w:rsidRDefault="001620A1" w:rsidP="001620A1">
      <w:pPr>
        <w:keepNext/>
      </w:pPr>
      <w:r>
        <w:rPr>
          <w:noProof/>
          <w:lang w:val="en-GB" w:eastAsia="zh-CN"/>
        </w:rPr>
        <w:drawing>
          <wp:inline distT="0" distB="0" distL="0" distR="0" wp14:anchorId="6EBE6187" wp14:editId="0A7E3B8E">
            <wp:extent cx="6028690" cy="2362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8690" cy="2362200"/>
                    </a:xfrm>
                    <a:prstGeom prst="rect">
                      <a:avLst/>
                    </a:prstGeom>
                    <a:noFill/>
                  </pic:spPr>
                </pic:pic>
              </a:graphicData>
            </a:graphic>
          </wp:inline>
        </w:drawing>
      </w:r>
    </w:p>
    <w:p w14:paraId="778E3321" w14:textId="30BE2E61" w:rsidR="001620A1" w:rsidRPr="00F66FC5" w:rsidRDefault="001620A1" w:rsidP="001620A1">
      <w:pPr>
        <w:pStyle w:val="Caption"/>
        <w:jc w:val="left"/>
      </w:pPr>
      <w:bookmarkStart w:id="4" w:name="_Ref518376078"/>
      <w:bookmarkStart w:id="5" w:name="_Ref518376058"/>
      <w:r w:rsidRPr="00F66FC5">
        <w:t xml:space="preserve">Figure </w:t>
      </w:r>
      <w:r>
        <w:fldChar w:fldCharType="begin"/>
      </w:r>
      <w:r w:rsidRPr="00F66FC5">
        <w:instrText xml:space="preserve"> SEQ Figure \* ARABIC </w:instrText>
      </w:r>
      <w:r>
        <w:fldChar w:fldCharType="separate"/>
      </w:r>
      <w:r w:rsidR="004C47DF" w:rsidRPr="00F66FC5">
        <w:rPr>
          <w:noProof/>
        </w:rPr>
        <w:t>2</w:t>
      </w:r>
      <w:r>
        <w:fldChar w:fldCharType="end"/>
      </w:r>
      <w:bookmarkEnd w:id="4"/>
      <w:r w:rsidRPr="00F66FC5">
        <w:t xml:space="preserve">: </w:t>
      </w:r>
      <w:bookmarkEnd w:id="5"/>
      <w:r w:rsidR="00873A38" w:rsidRPr="00F66FC5">
        <w:t xml:space="preserve">LTE cells can be configured with up to 6 MBSFN sub-frames </w:t>
      </w:r>
      <w:proofErr w:type="gramStart"/>
      <w:r w:rsidR="00873A38" w:rsidRPr="00F66FC5">
        <w:t>in order to</w:t>
      </w:r>
      <w:proofErr w:type="gramEnd"/>
      <w:r w:rsidR="00873A38" w:rsidRPr="00F66FC5">
        <w:t xml:space="preserve"> increase DTX duration and DTX ratio.</w:t>
      </w:r>
    </w:p>
    <w:p w14:paraId="3E97A404" w14:textId="44AB23E0" w:rsidR="00873A38" w:rsidRPr="00F66FC5" w:rsidRDefault="00873A38" w:rsidP="002A40F8">
      <w:r w:rsidRPr="00F66FC5">
        <w:t xml:space="preserve">One drawback with introducing MBSFN sub-frames it that pre Rel-10 UEs cannot receive PDSCH in these sub-frames and hence this significantly reduce the performance for such UEs. The number of MBSFN sub-frames can </w:t>
      </w:r>
      <w:r w:rsidR="005B6900" w:rsidRPr="00F66FC5">
        <w:t xml:space="preserve">however </w:t>
      </w:r>
      <w:r w:rsidRPr="00F66FC5">
        <w:t xml:space="preserve">be dynamically changed every system information modification period based e.g. on the number of active Rel-8 and Rel-9 UEs in the cell. </w:t>
      </w:r>
    </w:p>
    <w:p w14:paraId="42275895" w14:textId="748C207D" w:rsidR="00873A38" w:rsidRPr="00F66FC5" w:rsidRDefault="00873A38" w:rsidP="002A40F8">
      <w:r w:rsidRPr="00F66FC5">
        <w:t xml:space="preserve">In Rel-10 the transmission modes TM9 and TM10 were introduced and using these transmission modes it is possible to map the PDSCH to both non-MBSFN sub-frames as well as to MBSFN sub-frames. Hence for Rel-10 capable UEs it is beneficial to introduce MBSFN sub-frames as it reduces reference signal overhead and inter-sell interference from CRSs. In case a cell only has Rel-10 capable UEs it could preferably be configured </w:t>
      </w:r>
      <w:r w:rsidR="004E1014" w:rsidRPr="00F66FC5">
        <w:t xml:space="preserve">to operate with </w:t>
      </w:r>
      <w:r w:rsidRPr="00F66FC5">
        <w:t>the maximum number of MBSFN sub-frames all the time.</w:t>
      </w:r>
    </w:p>
    <w:p w14:paraId="0A7B6EDA" w14:textId="77777777" w:rsidR="000D3D79" w:rsidRDefault="000D3D79" w:rsidP="000D3D79">
      <w:pPr>
        <w:pStyle w:val="Heading3"/>
      </w:pPr>
      <w:r>
        <w:t>LTE lean carrier</w:t>
      </w:r>
    </w:p>
    <w:p w14:paraId="369497B6" w14:textId="03F648A2" w:rsidR="000D3D79" w:rsidRPr="00F66FC5" w:rsidRDefault="005B6900" w:rsidP="000D3D79">
      <w:pPr>
        <w:pStyle w:val="BodyText"/>
      </w:pPr>
      <w:r w:rsidRPr="00F66FC5">
        <w:t>“S</w:t>
      </w:r>
      <w:r w:rsidR="000D3D79" w:rsidRPr="00F66FC5">
        <w:t>tandard bending</w:t>
      </w:r>
      <w:r w:rsidRPr="00F66FC5">
        <w:t xml:space="preserve">” but UE compatible solutions can be introduced to further decrease the amount of CRS transmissions. As an example, UEs typically perform idle mode and mobility measurements on the center 6 PRBs only in sub-frames 0 and 5 and CRSs outside of this bandwidth can be omitted without any significant negative impact on the system. Also, the CRSs in sub-frame 4 and 9, which cannot be configured to be MBSFN sub-frames, can be omitted even though the LTE standard specifies that they shall be transmitted. Furthermore, the CRS transmissions in the control region (first OFDM symbol) in sub-frames 1, 2, 3, 4, 6, 7, 8, 9 can be </w:t>
      </w:r>
      <w:proofErr w:type="spellStart"/>
      <w:proofErr w:type="gramStart"/>
      <w:r w:rsidRPr="00F66FC5">
        <w:t>DTX:ed</w:t>
      </w:r>
      <w:proofErr w:type="spellEnd"/>
      <w:proofErr w:type="gramEnd"/>
      <w:r w:rsidRPr="00F66FC5">
        <w:t xml:space="preserve"> whenever there is no UL or DL control information to be transmitted. </w:t>
      </w:r>
      <w:r w:rsidR="00C104A4" w:rsidRPr="00F66FC5">
        <w:t>By performing this kind of “</w:t>
      </w:r>
      <w:r w:rsidR="00D663D5" w:rsidRPr="00F66FC5">
        <w:t xml:space="preserve">implementation </w:t>
      </w:r>
      <w:r w:rsidR="00C104A4" w:rsidRPr="00F66FC5">
        <w:t xml:space="preserve">tricks” that are not technically standard compliant but </w:t>
      </w:r>
      <w:r w:rsidR="003D6DB5" w:rsidRPr="00F66FC5">
        <w:t xml:space="preserve">still </w:t>
      </w:r>
      <w:r w:rsidR="00C104A4" w:rsidRPr="00F66FC5">
        <w:t xml:space="preserve">compatible with the actual implemented UE behavior it is possible to increase the DTX duration up to 4 </w:t>
      </w:r>
      <w:proofErr w:type="spellStart"/>
      <w:r w:rsidR="00C104A4" w:rsidRPr="00F66FC5">
        <w:t>ms</w:t>
      </w:r>
      <w:proofErr w:type="spellEnd"/>
      <w:r w:rsidR="00C104A4" w:rsidRPr="00F66FC5">
        <w:t xml:space="preserve"> in LTE</w:t>
      </w:r>
      <w:r w:rsidR="003D6DB5" w:rsidRPr="00F66FC5">
        <w:t xml:space="preserve"> </w:t>
      </w:r>
      <w:r w:rsidR="003D6DB5">
        <w:fldChar w:fldCharType="begin"/>
      </w:r>
      <w:r w:rsidR="003D6DB5" w:rsidRPr="00F66FC5">
        <w:instrText xml:space="preserve"> REF _Ref518380752 \r \h </w:instrText>
      </w:r>
      <w:r w:rsidR="003D6DB5">
        <w:fldChar w:fldCharType="separate"/>
      </w:r>
      <w:r w:rsidR="004C47DF" w:rsidRPr="00F66FC5">
        <w:t>[8]</w:t>
      </w:r>
      <w:r w:rsidR="003D6DB5">
        <w:fldChar w:fldCharType="end"/>
      </w:r>
      <w:r w:rsidR="00A82F78">
        <w:fldChar w:fldCharType="begin"/>
      </w:r>
      <w:r w:rsidR="00A82F78" w:rsidRPr="00F66FC5">
        <w:instrText xml:space="preserve"> REF _Ref518381115 \r \h </w:instrText>
      </w:r>
      <w:r w:rsidR="00A82F78">
        <w:fldChar w:fldCharType="separate"/>
      </w:r>
      <w:r w:rsidR="004C47DF" w:rsidRPr="00F66FC5">
        <w:t>[9]</w:t>
      </w:r>
      <w:r w:rsidR="00A82F78">
        <w:fldChar w:fldCharType="end"/>
      </w:r>
      <w:r w:rsidR="00C104A4" w:rsidRPr="00F66FC5">
        <w:t xml:space="preserve">. </w:t>
      </w:r>
    </w:p>
    <w:p w14:paraId="081FB615" w14:textId="1F39DF56" w:rsidR="00F85240" w:rsidRDefault="000D3D79" w:rsidP="000D3D79">
      <w:pPr>
        <w:pStyle w:val="Heading3"/>
      </w:pPr>
      <w:r>
        <w:t>Low energy scheduling solution (</w:t>
      </w:r>
      <w:r w:rsidR="00F85240">
        <w:t>LESS</w:t>
      </w:r>
      <w:r>
        <w:t>)</w:t>
      </w:r>
    </w:p>
    <w:p w14:paraId="696E3DA8" w14:textId="1C4D40A3" w:rsidR="00E42508" w:rsidRPr="00F66FC5" w:rsidRDefault="00A82F78" w:rsidP="008F7256">
      <w:pPr>
        <w:pStyle w:val="BodyText"/>
        <w:rPr>
          <w:lang w:eastAsia="sv-SE"/>
        </w:rPr>
      </w:pPr>
      <w:r w:rsidRPr="00F66FC5">
        <w:rPr>
          <w:lang w:eastAsia="sv-SE"/>
        </w:rPr>
        <w:t>By collecting data transmissions in time, the amount of DTX enabled by e.g. MBSFN adaptation and LTE lean carrier techniques can be maintained even as traffic start to increase.</w:t>
      </w:r>
      <w:r w:rsidR="00E42508" w:rsidRPr="00F66FC5">
        <w:rPr>
          <w:lang w:eastAsia="sv-SE"/>
        </w:rPr>
        <w:t xml:space="preserve"> Studies have shown that it is possible to reach up to 15% energy savings through predictive and intelligent software features in the LTE scheduler </w:t>
      </w:r>
      <w:r w:rsidR="00E42508">
        <w:rPr>
          <w:lang w:eastAsia="sv-SE"/>
        </w:rPr>
        <w:fldChar w:fldCharType="begin"/>
      </w:r>
      <w:r w:rsidR="00E42508" w:rsidRPr="00F66FC5">
        <w:rPr>
          <w:lang w:eastAsia="sv-SE"/>
        </w:rPr>
        <w:instrText xml:space="preserve"> REF _Ref518382137 \r \h </w:instrText>
      </w:r>
      <w:r w:rsidR="00E42508">
        <w:rPr>
          <w:lang w:eastAsia="sv-SE"/>
        </w:rPr>
      </w:r>
      <w:r w:rsidR="00E42508">
        <w:rPr>
          <w:lang w:eastAsia="sv-SE"/>
        </w:rPr>
        <w:fldChar w:fldCharType="separate"/>
      </w:r>
      <w:r w:rsidR="004C47DF" w:rsidRPr="00F66FC5">
        <w:rPr>
          <w:lang w:eastAsia="sv-SE"/>
        </w:rPr>
        <w:t>[10]</w:t>
      </w:r>
      <w:r w:rsidR="00E42508">
        <w:rPr>
          <w:lang w:eastAsia="sv-SE"/>
        </w:rPr>
        <w:fldChar w:fldCharType="end"/>
      </w:r>
      <w:r w:rsidR="00E42508" w:rsidRPr="00F66FC5">
        <w:rPr>
          <w:lang w:eastAsia="sv-SE"/>
        </w:rPr>
        <w:t>.</w:t>
      </w:r>
    </w:p>
    <w:p w14:paraId="0A7129FE" w14:textId="77777777" w:rsidR="00E42508" w:rsidRDefault="00E42508" w:rsidP="00E42508">
      <w:pPr>
        <w:pStyle w:val="BodyText"/>
        <w:keepNext/>
      </w:pPr>
      <w:r>
        <w:rPr>
          <w:noProof/>
          <w:lang w:eastAsia="sv-SE"/>
        </w:rPr>
        <w:drawing>
          <wp:inline distT="0" distB="0" distL="0" distR="0" wp14:anchorId="6FB8874F" wp14:editId="3F62C847">
            <wp:extent cx="6136266" cy="1428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7972" cy="1454759"/>
                    </a:xfrm>
                    <a:prstGeom prst="rect">
                      <a:avLst/>
                    </a:prstGeom>
                    <a:noFill/>
                  </pic:spPr>
                </pic:pic>
              </a:graphicData>
            </a:graphic>
          </wp:inline>
        </w:drawing>
      </w:r>
    </w:p>
    <w:p w14:paraId="0A39A94E" w14:textId="69DD8FB8" w:rsidR="008F7256" w:rsidRPr="00F66FC5" w:rsidRDefault="00E42508" w:rsidP="00F338B9">
      <w:pPr>
        <w:pStyle w:val="Caption"/>
        <w:jc w:val="left"/>
      </w:pPr>
      <w:r w:rsidRPr="00F66FC5">
        <w:t xml:space="preserve">Figure </w:t>
      </w:r>
      <w:r>
        <w:fldChar w:fldCharType="begin"/>
      </w:r>
      <w:r w:rsidRPr="00F66FC5">
        <w:instrText xml:space="preserve"> SEQ Figure \* ARABIC </w:instrText>
      </w:r>
      <w:r>
        <w:fldChar w:fldCharType="separate"/>
      </w:r>
      <w:r w:rsidR="004C47DF" w:rsidRPr="00F66FC5">
        <w:rPr>
          <w:noProof/>
        </w:rPr>
        <w:t>3</w:t>
      </w:r>
      <w:r>
        <w:fldChar w:fldCharType="end"/>
      </w:r>
      <w:r w:rsidRPr="00F66FC5">
        <w:t>: Grouping of downlink LTE transmissions in time enable power amplifiers to go more often in sleep mode.</w:t>
      </w:r>
    </w:p>
    <w:p w14:paraId="5614040D" w14:textId="5AC7A805" w:rsidR="005444B3" w:rsidRDefault="005444B3" w:rsidP="005444B3">
      <w:pPr>
        <w:pStyle w:val="Heading2"/>
      </w:pPr>
      <w:bookmarkStart w:id="6" w:name="_Ref518383067"/>
      <w:r>
        <w:t>LTE antenna port merging and muting</w:t>
      </w:r>
      <w:bookmarkEnd w:id="6"/>
    </w:p>
    <w:p w14:paraId="3A9E2E4B" w14:textId="20D78FC1" w:rsidR="00D5700E" w:rsidRPr="00D5700E" w:rsidRDefault="00F338B9" w:rsidP="00F338B9">
      <w:pPr>
        <w:rPr>
          <w:lang w:val="en-GB" w:eastAsia="zh-CN"/>
        </w:rPr>
      </w:pPr>
      <w:r w:rsidRPr="00D5700E">
        <w:rPr>
          <w:lang w:val="en-GB" w:eastAsia="zh-CN"/>
        </w:rPr>
        <w:t>In LTE the transmission of idle mode signals and channels (e.g. CRS, PSS, SSS, PBCH, PDCCH, PDSCH, PCFICH, PHICH) uses the same number of antenna ports as the DPSCH transmissions when used for user plane data transmissions. When no or very little user plane data are being transmitted this additional performance from multi-antenna transmissions are not needed. Studies have shown that the performance degradation of simply combining all antenna port</w:t>
      </w:r>
      <w:r w:rsidR="00D5700E" w:rsidRPr="00D5700E">
        <w:rPr>
          <w:lang w:val="en-GB" w:eastAsia="zh-CN"/>
        </w:rPr>
        <w:t xml:space="preserve"> signal</w:t>
      </w:r>
      <w:r w:rsidRPr="00D5700E">
        <w:rPr>
          <w:lang w:val="en-GB" w:eastAsia="zh-CN"/>
        </w:rPr>
        <w:t>s to be transmitted and then transmit the sub-signal using a single power amplifier and antenna is relatively small</w:t>
      </w:r>
      <w:r w:rsidR="00D5700E" w:rsidRPr="00D5700E">
        <w:rPr>
          <w:lang w:val="en-GB" w:eastAsia="zh-CN"/>
        </w:rPr>
        <w:t xml:space="preserve"> </w:t>
      </w:r>
      <w:r w:rsidR="00D5700E" w:rsidRPr="00D5700E">
        <w:rPr>
          <w:lang w:val="en-GB" w:eastAsia="zh-CN"/>
        </w:rPr>
        <w:fldChar w:fldCharType="begin"/>
      </w:r>
      <w:r w:rsidR="00D5700E" w:rsidRPr="00D5700E">
        <w:rPr>
          <w:lang w:val="en-GB" w:eastAsia="zh-CN"/>
        </w:rPr>
        <w:instrText xml:space="preserve"> REF _Ref518382492 \r \h  \* MERGEFORMAT </w:instrText>
      </w:r>
      <w:r w:rsidR="00D5700E" w:rsidRPr="00D5700E">
        <w:rPr>
          <w:lang w:val="en-GB" w:eastAsia="zh-CN"/>
        </w:rPr>
      </w:r>
      <w:r w:rsidR="00D5700E" w:rsidRPr="00D5700E">
        <w:rPr>
          <w:lang w:val="en-GB" w:eastAsia="zh-CN"/>
        </w:rPr>
        <w:fldChar w:fldCharType="separate"/>
      </w:r>
      <w:r w:rsidR="004C47DF">
        <w:rPr>
          <w:lang w:val="en-GB" w:eastAsia="zh-CN"/>
        </w:rPr>
        <w:t>[11]</w:t>
      </w:r>
      <w:r w:rsidR="00D5700E" w:rsidRPr="00D5700E">
        <w:rPr>
          <w:lang w:val="en-GB" w:eastAsia="zh-CN"/>
        </w:rPr>
        <w:fldChar w:fldCharType="end"/>
      </w:r>
      <w:r w:rsidR="00D5700E" w:rsidRPr="00D5700E">
        <w:rPr>
          <w:lang w:val="en-GB" w:eastAsia="zh-CN"/>
        </w:rPr>
        <w:t xml:space="preserve">, see </w:t>
      </w:r>
      <w:r w:rsidR="00D5700E" w:rsidRPr="00D5700E">
        <w:rPr>
          <w:lang w:val="en-GB" w:eastAsia="zh-CN"/>
        </w:rPr>
        <w:fldChar w:fldCharType="begin"/>
      </w:r>
      <w:r w:rsidR="00D5700E" w:rsidRPr="00D5700E">
        <w:rPr>
          <w:lang w:val="en-GB" w:eastAsia="zh-CN"/>
        </w:rPr>
        <w:instrText xml:space="preserve"> REF _Ref518382570 \h  \* MERGEFORMAT </w:instrText>
      </w:r>
      <w:r w:rsidR="00D5700E" w:rsidRPr="00D5700E">
        <w:rPr>
          <w:lang w:val="en-GB" w:eastAsia="zh-CN"/>
        </w:rPr>
      </w:r>
      <w:r w:rsidR="00D5700E" w:rsidRPr="00D5700E">
        <w:rPr>
          <w:lang w:val="en-GB" w:eastAsia="zh-CN"/>
        </w:rPr>
        <w:fldChar w:fldCharType="separate"/>
      </w:r>
      <w:r w:rsidR="004C47DF" w:rsidRPr="00F66FC5">
        <w:t xml:space="preserve">Figure </w:t>
      </w:r>
      <w:r w:rsidR="004C47DF" w:rsidRPr="00F66FC5">
        <w:rPr>
          <w:noProof/>
        </w:rPr>
        <w:t>4</w:t>
      </w:r>
      <w:r w:rsidR="00D5700E" w:rsidRPr="00D5700E">
        <w:rPr>
          <w:lang w:val="en-GB" w:eastAsia="zh-CN"/>
        </w:rPr>
        <w:fldChar w:fldCharType="end"/>
      </w:r>
      <w:r w:rsidR="00D5700E" w:rsidRPr="00D5700E">
        <w:rPr>
          <w:lang w:val="en-GB" w:eastAsia="zh-CN"/>
        </w:rPr>
        <w:t xml:space="preserve">. The power savings are however significant </w:t>
      </w:r>
      <w:r w:rsidR="00D5700E" w:rsidRPr="00D5700E">
        <w:rPr>
          <w:lang w:val="en-GB" w:eastAsia="zh-CN"/>
        </w:rPr>
        <w:fldChar w:fldCharType="begin"/>
      </w:r>
      <w:r w:rsidR="00D5700E" w:rsidRPr="00D5700E">
        <w:rPr>
          <w:lang w:val="en-GB" w:eastAsia="zh-CN"/>
        </w:rPr>
        <w:instrText xml:space="preserve"> REF _Ref518382514 \r \h  \* MERGEFORMAT </w:instrText>
      </w:r>
      <w:r w:rsidR="00D5700E" w:rsidRPr="00D5700E">
        <w:rPr>
          <w:lang w:val="en-GB" w:eastAsia="zh-CN"/>
        </w:rPr>
      </w:r>
      <w:r w:rsidR="00D5700E" w:rsidRPr="00D5700E">
        <w:rPr>
          <w:lang w:val="en-GB" w:eastAsia="zh-CN"/>
        </w:rPr>
        <w:fldChar w:fldCharType="separate"/>
      </w:r>
      <w:r w:rsidR="004C47DF">
        <w:rPr>
          <w:lang w:val="en-GB" w:eastAsia="zh-CN"/>
        </w:rPr>
        <w:t>[12]</w:t>
      </w:r>
      <w:r w:rsidR="00D5700E" w:rsidRPr="00D5700E">
        <w:rPr>
          <w:lang w:val="en-GB" w:eastAsia="zh-CN"/>
        </w:rPr>
        <w:fldChar w:fldCharType="end"/>
      </w:r>
      <w:r w:rsidR="00D5700E" w:rsidRPr="00D5700E">
        <w:rPr>
          <w:lang w:val="en-GB" w:eastAsia="zh-CN"/>
        </w:rPr>
        <w:t xml:space="preserve">. </w:t>
      </w:r>
      <w:r w:rsidR="00A43B36" w:rsidRPr="00F66FC5">
        <w:rPr>
          <w:bCs/>
        </w:rPr>
        <w:t>Fast and dynamic a</w:t>
      </w:r>
      <w:r w:rsidR="00D5700E" w:rsidRPr="00F66FC5">
        <w:rPr>
          <w:bCs/>
        </w:rPr>
        <w:t xml:space="preserve">ntenna port merging and muting (also known as MIMO sleep) can reduce the energy consumption with up to </w:t>
      </w:r>
      <w:r w:rsidR="00A43B36" w:rsidRPr="00F66FC5">
        <w:rPr>
          <w:bCs/>
        </w:rPr>
        <w:t>approximately</w:t>
      </w:r>
      <w:r w:rsidR="00D5700E" w:rsidRPr="00F66FC5">
        <w:rPr>
          <w:bCs/>
        </w:rPr>
        <w:t xml:space="preserve"> 50% </w:t>
      </w:r>
      <w:r w:rsidR="009904E4" w:rsidRPr="00F66FC5">
        <w:rPr>
          <w:bCs/>
        </w:rPr>
        <w:t xml:space="preserve">(4TX cells) </w:t>
      </w:r>
      <w:r w:rsidR="00A43B36" w:rsidRPr="00F66FC5">
        <w:rPr>
          <w:bCs/>
        </w:rPr>
        <w:t xml:space="preserve">or 30% (2TX cells) </w:t>
      </w:r>
      <w:r w:rsidR="00D5700E" w:rsidRPr="00F66FC5">
        <w:rPr>
          <w:bCs/>
        </w:rPr>
        <w:t xml:space="preserve">without significantly affecting the user throughput. </w:t>
      </w:r>
    </w:p>
    <w:p w14:paraId="2F31894B" w14:textId="77777777" w:rsidR="005444B3" w:rsidRDefault="005444B3" w:rsidP="005444B3">
      <w:pPr>
        <w:keepNext/>
        <w:jc w:val="center"/>
      </w:pPr>
      <w:r>
        <w:rPr>
          <w:noProof/>
          <w:lang w:val="en-GB" w:eastAsia="zh-CN"/>
        </w:rPr>
        <w:drawing>
          <wp:inline distT="0" distB="0" distL="0" distR="0" wp14:anchorId="7F739065" wp14:editId="6F2A4433">
            <wp:extent cx="2652393" cy="2733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4592" cy="2735941"/>
                    </a:xfrm>
                    <a:prstGeom prst="rect">
                      <a:avLst/>
                    </a:prstGeom>
                    <a:noFill/>
                  </pic:spPr>
                </pic:pic>
              </a:graphicData>
            </a:graphic>
          </wp:inline>
        </w:drawing>
      </w:r>
    </w:p>
    <w:p w14:paraId="1BCB7D3E" w14:textId="6333A5BB" w:rsidR="005444B3" w:rsidRPr="00F66FC5" w:rsidRDefault="005444B3" w:rsidP="009A6443">
      <w:pPr>
        <w:pStyle w:val="Caption"/>
        <w:jc w:val="left"/>
      </w:pPr>
      <w:bookmarkStart w:id="7" w:name="_Ref518382570"/>
      <w:r w:rsidRPr="00F66FC5">
        <w:t xml:space="preserve">Figure </w:t>
      </w:r>
      <w:r>
        <w:fldChar w:fldCharType="begin"/>
      </w:r>
      <w:r w:rsidRPr="00F66FC5">
        <w:instrText xml:space="preserve"> SEQ Figure \* ARABIC </w:instrText>
      </w:r>
      <w:r>
        <w:fldChar w:fldCharType="separate"/>
      </w:r>
      <w:r w:rsidR="004C47DF" w:rsidRPr="00F66FC5">
        <w:rPr>
          <w:noProof/>
        </w:rPr>
        <w:t>4</w:t>
      </w:r>
      <w:r>
        <w:fldChar w:fldCharType="end"/>
      </w:r>
      <w:bookmarkEnd w:id="7"/>
      <w:r w:rsidRPr="00F66FC5">
        <w:t xml:space="preserve">: </w:t>
      </w:r>
      <w:r w:rsidR="00D5700E" w:rsidRPr="00F66FC5">
        <w:t xml:space="preserve">MIMO sleep, or antenna port merging and muting, can be applied when there is no or very little user plane traffic in a cell. </w:t>
      </w:r>
    </w:p>
    <w:p w14:paraId="61DD942F" w14:textId="41B5C010" w:rsidR="005444B3" w:rsidRDefault="005444B3" w:rsidP="005444B3">
      <w:pPr>
        <w:pStyle w:val="Heading2"/>
      </w:pPr>
      <w:r>
        <w:t>Dynamic PSI-omni</w:t>
      </w:r>
    </w:p>
    <w:p w14:paraId="4ADD7606" w14:textId="670FC960" w:rsidR="00AC586C" w:rsidRDefault="0063772D" w:rsidP="0063772D">
      <w:pPr>
        <w:rPr>
          <w:lang w:val="en-GB" w:eastAsia="zh-CN"/>
        </w:rPr>
      </w:pPr>
      <w:r>
        <w:rPr>
          <w:lang w:val="en-GB" w:eastAsia="zh-CN"/>
        </w:rPr>
        <w:t xml:space="preserve">A typical 3-sector </w:t>
      </w:r>
      <w:proofErr w:type="spellStart"/>
      <w:r>
        <w:rPr>
          <w:lang w:val="en-GB" w:eastAsia="zh-CN"/>
        </w:rPr>
        <w:t>eNB</w:t>
      </w:r>
      <w:proofErr w:type="spellEnd"/>
      <w:r>
        <w:rPr>
          <w:lang w:val="en-GB" w:eastAsia="zh-CN"/>
        </w:rPr>
        <w:t xml:space="preserve"> with 2TX antenna per sector consist of 6 power amplifiers</w:t>
      </w:r>
      <w:r w:rsidR="00AC586C">
        <w:rPr>
          <w:lang w:val="en-GB" w:eastAsia="zh-CN"/>
        </w:rPr>
        <w:t xml:space="preserve"> (P</w:t>
      </w:r>
      <w:r w:rsidR="002C19C7">
        <w:rPr>
          <w:lang w:val="en-GB" w:eastAsia="zh-CN"/>
        </w:rPr>
        <w:t>A</w:t>
      </w:r>
      <w:r w:rsidR="00AC586C">
        <w:rPr>
          <w:lang w:val="en-GB" w:eastAsia="zh-CN"/>
        </w:rPr>
        <w:t>s)</w:t>
      </w:r>
      <w:r>
        <w:rPr>
          <w:lang w:val="en-GB" w:eastAsia="zh-CN"/>
        </w:rPr>
        <w:t xml:space="preserve">. With antenna port merging and muting (as described in sub-section </w:t>
      </w:r>
      <w:r>
        <w:rPr>
          <w:lang w:val="en-GB" w:eastAsia="zh-CN"/>
        </w:rPr>
        <w:fldChar w:fldCharType="begin"/>
      </w:r>
      <w:r>
        <w:rPr>
          <w:lang w:val="en-GB" w:eastAsia="zh-CN"/>
        </w:rPr>
        <w:instrText xml:space="preserve"> REF _Ref518383067 \r \h </w:instrText>
      </w:r>
      <w:r>
        <w:rPr>
          <w:lang w:val="en-GB" w:eastAsia="zh-CN"/>
        </w:rPr>
      </w:r>
      <w:r>
        <w:rPr>
          <w:lang w:val="en-GB" w:eastAsia="zh-CN"/>
        </w:rPr>
        <w:fldChar w:fldCharType="separate"/>
      </w:r>
      <w:r w:rsidR="004C47DF">
        <w:rPr>
          <w:lang w:val="en-GB" w:eastAsia="zh-CN"/>
        </w:rPr>
        <w:t>2.2</w:t>
      </w:r>
      <w:r>
        <w:rPr>
          <w:lang w:val="en-GB" w:eastAsia="zh-CN"/>
        </w:rPr>
        <w:fldChar w:fldCharType="end"/>
      </w:r>
      <w:r>
        <w:rPr>
          <w:lang w:val="en-GB" w:eastAsia="zh-CN"/>
        </w:rPr>
        <w:t xml:space="preserve">) the number of </w:t>
      </w:r>
      <w:r w:rsidR="00AC586C">
        <w:rPr>
          <w:lang w:val="en-GB" w:eastAsia="zh-CN"/>
        </w:rPr>
        <w:t xml:space="preserve">active PA can be reduced from 6 to 3 (i.e. one PA per sector). Using a PSI-splitter (initially designed for rural coverage, see e.g. </w:t>
      </w:r>
      <w:r w:rsidR="00AC586C">
        <w:rPr>
          <w:lang w:val="en-GB" w:eastAsia="zh-CN"/>
        </w:rPr>
        <w:fldChar w:fldCharType="begin"/>
      </w:r>
      <w:r w:rsidR="00AC586C">
        <w:rPr>
          <w:lang w:val="en-GB" w:eastAsia="zh-CN"/>
        </w:rPr>
        <w:instrText xml:space="preserve"> REF _Ref518383300 \r \h </w:instrText>
      </w:r>
      <w:r w:rsidR="00AC586C">
        <w:rPr>
          <w:lang w:val="en-GB" w:eastAsia="zh-CN"/>
        </w:rPr>
      </w:r>
      <w:r w:rsidR="00AC586C">
        <w:rPr>
          <w:lang w:val="en-GB" w:eastAsia="zh-CN"/>
        </w:rPr>
        <w:fldChar w:fldCharType="separate"/>
      </w:r>
      <w:r w:rsidR="004C47DF">
        <w:rPr>
          <w:lang w:val="en-GB" w:eastAsia="zh-CN"/>
        </w:rPr>
        <w:t>[13]</w:t>
      </w:r>
      <w:r w:rsidR="00AC586C">
        <w:rPr>
          <w:lang w:val="en-GB" w:eastAsia="zh-CN"/>
        </w:rPr>
        <w:fldChar w:fldCharType="end"/>
      </w:r>
      <w:r w:rsidR="00AC586C">
        <w:rPr>
          <w:lang w:val="en-GB" w:eastAsia="zh-CN"/>
        </w:rPr>
        <w:t xml:space="preserve">) it is possible to connect all 3 sector antennas to one single PA, and put the remaining 5 Pas at the site into sleep mode. </w:t>
      </w:r>
    </w:p>
    <w:p w14:paraId="0266B5B9" w14:textId="32D9C39D" w:rsidR="00AC586C" w:rsidRPr="0063772D" w:rsidRDefault="00AC586C" w:rsidP="0063772D">
      <w:pPr>
        <w:rPr>
          <w:lang w:val="en-GB" w:eastAsia="zh-CN"/>
        </w:rPr>
      </w:pPr>
      <w:r>
        <w:rPr>
          <w:lang w:val="en-GB" w:eastAsia="zh-CN"/>
        </w:rPr>
        <w:t xml:space="preserve">Dynamic PSI-omni requires that a site is configured with 4 cells, i.e. 3 sector cells and 1 additional PSI-omni cell, see </w:t>
      </w:r>
      <w:r>
        <w:rPr>
          <w:lang w:val="en-GB" w:eastAsia="zh-CN"/>
        </w:rPr>
        <w:fldChar w:fldCharType="begin"/>
      </w:r>
      <w:r>
        <w:rPr>
          <w:lang w:val="en-GB" w:eastAsia="zh-CN"/>
        </w:rPr>
        <w:instrText xml:space="preserve"> REF _Ref518383426 \h </w:instrText>
      </w:r>
      <w:r>
        <w:rPr>
          <w:lang w:val="en-GB" w:eastAsia="zh-CN"/>
        </w:rPr>
      </w:r>
      <w:r>
        <w:rPr>
          <w:lang w:val="en-GB" w:eastAsia="zh-CN"/>
        </w:rPr>
        <w:fldChar w:fldCharType="separate"/>
      </w:r>
      <w:r w:rsidR="004C47DF" w:rsidRPr="00F66FC5">
        <w:t xml:space="preserve">Figure </w:t>
      </w:r>
      <w:r w:rsidR="004C47DF" w:rsidRPr="00F66FC5">
        <w:rPr>
          <w:noProof/>
        </w:rPr>
        <w:t>5</w:t>
      </w:r>
      <w:r>
        <w:rPr>
          <w:lang w:val="en-GB" w:eastAsia="zh-CN"/>
        </w:rPr>
        <w:fldChar w:fldCharType="end"/>
      </w:r>
      <w:r>
        <w:rPr>
          <w:lang w:val="en-GB" w:eastAsia="zh-CN"/>
        </w:rPr>
        <w:t xml:space="preserve">. Either the 3 sector cells are active or the PSI-omni cell is active, but except for a short transition phase all 4 cells are not active simultaneously. Dynamic PSI-omni works particularly well together with antenna port merging and muting since one of the de-activated PAs can be used to transmit the PSI-omni cell, see e.g. </w:t>
      </w:r>
      <w:r>
        <w:rPr>
          <w:lang w:val="en-GB" w:eastAsia="zh-CN"/>
        </w:rPr>
        <w:fldChar w:fldCharType="begin"/>
      </w:r>
      <w:r>
        <w:rPr>
          <w:lang w:val="en-GB" w:eastAsia="zh-CN"/>
        </w:rPr>
        <w:instrText xml:space="preserve"> REF _Ref518383643 \r \h </w:instrText>
      </w:r>
      <w:r>
        <w:rPr>
          <w:lang w:val="en-GB" w:eastAsia="zh-CN"/>
        </w:rPr>
      </w:r>
      <w:r>
        <w:rPr>
          <w:lang w:val="en-GB" w:eastAsia="zh-CN"/>
        </w:rPr>
        <w:fldChar w:fldCharType="separate"/>
      </w:r>
      <w:r w:rsidR="004C47DF">
        <w:rPr>
          <w:lang w:val="en-GB" w:eastAsia="zh-CN"/>
        </w:rPr>
        <w:t>[14]</w:t>
      </w:r>
      <w:r>
        <w:rPr>
          <w:lang w:val="en-GB" w:eastAsia="zh-CN"/>
        </w:rPr>
        <w:fldChar w:fldCharType="end"/>
      </w:r>
      <w:r>
        <w:rPr>
          <w:lang w:val="en-GB" w:eastAsia="zh-CN"/>
        </w:rPr>
        <w:t xml:space="preserve">. </w:t>
      </w:r>
      <w:r w:rsidR="00101822">
        <w:rPr>
          <w:lang w:val="en-GB" w:eastAsia="zh-CN"/>
        </w:rPr>
        <w:t xml:space="preserve">The combined usage of dynamic MIMO sleep and dynamic PSI-omni can reduce the energy consumption of up to 45% for sites with 3 sectors and 2TX antennas per sector </w:t>
      </w:r>
      <w:r w:rsidR="00101822">
        <w:rPr>
          <w:lang w:val="en-GB" w:eastAsia="zh-CN"/>
        </w:rPr>
        <w:fldChar w:fldCharType="begin"/>
      </w:r>
      <w:r w:rsidR="00101822">
        <w:rPr>
          <w:lang w:val="en-GB" w:eastAsia="zh-CN"/>
        </w:rPr>
        <w:instrText xml:space="preserve"> REF _Ref518383643 \r \h </w:instrText>
      </w:r>
      <w:r w:rsidR="00101822">
        <w:rPr>
          <w:lang w:val="en-GB" w:eastAsia="zh-CN"/>
        </w:rPr>
      </w:r>
      <w:r w:rsidR="00101822">
        <w:rPr>
          <w:lang w:val="en-GB" w:eastAsia="zh-CN"/>
        </w:rPr>
        <w:fldChar w:fldCharType="separate"/>
      </w:r>
      <w:r w:rsidR="004C47DF">
        <w:rPr>
          <w:lang w:val="en-GB" w:eastAsia="zh-CN"/>
        </w:rPr>
        <w:t>[14]</w:t>
      </w:r>
      <w:r w:rsidR="00101822">
        <w:rPr>
          <w:lang w:val="en-GB" w:eastAsia="zh-CN"/>
        </w:rPr>
        <w:fldChar w:fldCharType="end"/>
      </w:r>
      <w:r w:rsidR="00101822">
        <w:rPr>
          <w:lang w:val="en-GB" w:eastAsia="zh-CN"/>
        </w:rPr>
        <w:t>.</w:t>
      </w:r>
    </w:p>
    <w:p w14:paraId="005DE644" w14:textId="77777777" w:rsidR="005444B3" w:rsidRDefault="005444B3" w:rsidP="00E77D9E">
      <w:pPr>
        <w:keepNext/>
        <w:jc w:val="center"/>
      </w:pPr>
      <w:r>
        <w:rPr>
          <w:noProof/>
          <w:lang w:val="en-GB" w:eastAsia="zh-CN"/>
        </w:rPr>
        <w:drawing>
          <wp:inline distT="0" distB="0" distL="0" distR="0" wp14:anchorId="747F6D31" wp14:editId="113230F1">
            <wp:extent cx="5461000" cy="15463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2972" cy="1558215"/>
                    </a:xfrm>
                    <a:prstGeom prst="rect">
                      <a:avLst/>
                    </a:prstGeom>
                    <a:noFill/>
                  </pic:spPr>
                </pic:pic>
              </a:graphicData>
            </a:graphic>
          </wp:inline>
        </w:drawing>
      </w:r>
    </w:p>
    <w:p w14:paraId="3EC02BAE" w14:textId="720DD486" w:rsidR="005444B3" w:rsidRPr="00F66FC5" w:rsidRDefault="005444B3" w:rsidP="005444B3">
      <w:pPr>
        <w:pStyle w:val="Caption"/>
        <w:jc w:val="left"/>
      </w:pPr>
      <w:bookmarkStart w:id="8" w:name="_Ref518383426"/>
      <w:r w:rsidRPr="00F66FC5">
        <w:t xml:space="preserve">Figure </w:t>
      </w:r>
      <w:r>
        <w:fldChar w:fldCharType="begin"/>
      </w:r>
      <w:r w:rsidRPr="00F66FC5">
        <w:instrText xml:space="preserve"> SEQ Figure \* ARABIC </w:instrText>
      </w:r>
      <w:r>
        <w:fldChar w:fldCharType="separate"/>
      </w:r>
      <w:r w:rsidR="004C47DF" w:rsidRPr="00F66FC5">
        <w:rPr>
          <w:noProof/>
        </w:rPr>
        <w:t>5</w:t>
      </w:r>
      <w:r>
        <w:fldChar w:fldCharType="end"/>
      </w:r>
      <w:bookmarkEnd w:id="8"/>
      <w:r w:rsidRPr="00F66FC5">
        <w:t xml:space="preserve">: </w:t>
      </w:r>
      <w:r w:rsidR="00AC586C" w:rsidRPr="00F66FC5">
        <w:t xml:space="preserve">Dynamic PSI-omni enables </w:t>
      </w:r>
      <w:r w:rsidR="002C19C7" w:rsidRPr="00F66FC5">
        <w:t>5 out of 6 PAs at a typical 3-sector site to be de-activated during low or no traffic scenarios.</w:t>
      </w:r>
    </w:p>
    <w:p w14:paraId="6AC321E0" w14:textId="0BAF6F79" w:rsidR="00E77D9E" w:rsidRDefault="00E77D9E" w:rsidP="00E77D9E">
      <w:pPr>
        <w:pStyle w:val="Heading2"/>
      </w:pPr>
      <w:r>
        <w:t>Cell sleep in heterogeneous networks</w:t>
      </w:r>
    </w:p>
    <w:p w14:paraId="546F751E" w14:textId="2FD488C0" w:rsidR="00094438" w:rsidRPr="00F66FC5" w:rsidRDefault="00F242EF" w:rsidP="0027393A">
      <w:pPr>
        <w:pStyle w:val="BodyText"/>
        <w:rPr>
          <w:lang w:eastAsia="sv-SE"/>
        </w:rPr>
      </w:pPr>
      <w:r w:rsidRPr="00F66FC5">
        <w:rPr>
          <w:lang w:eastAsia="sv-SE"/>
        </w:rPr>
        <w:t xml:space="preserve">The total energy consumption can </w:t>
      </w:r>
      <w:r w:rsidR="0027393A" w:rsidRPr="00F66FC5">
        <w:rPr>
          <w:lang w:eastAsia="sv-SE"/>
        </w:rPr>
        <w:t>decrease</w:t>
      </w:r>
      <w:r w:rsidRPr="00F66FC5">
        <w:rPr>
          <w:lang w:eastAsia="sv-SE"/>
        </w:rPr>
        <w:t xml:space="preserve"> when an existing cellular network is densified </w:t>
      </w:r>
      <w:r w:rsidR="0027393A" w:rsidRPr="00F66FC5">
        <w:rPr>
          <w:lang w:eastAsia="sv-SE"/>
        </w:rPr>
        <w:t>to</w:t>
      </w:r>
      <w:r w:rsidRPr="00F66FC5">
        <w:rPr>
          <w:lang w:eastAsia="sv-SE"/>
        </w:rPr>
        <w:t xml:space="preserve"> meet an increasing traffic demand, as shown in e.g. </w:t>
      </w:r>
      <w:r>
        <w:rPr>
          <w:lang w:eastAsia="sv-SE"/>
        </w:rPr>
        <w:fldChar w:fldCharType="begin"/>
      </w:r>
      <w:r w:rsidRPr="00F66FC5">
        <w:rPr>
          <w:lang w:eastAsia="sv-SE"/>
        </w:rPr>
        <w:instrText xml:space="preserve"> REF _Ref518387787 \r \h </w:instrText>
      </w:r>
      <w:r>
        <w:rPr>
          <w:lang w:eastAsia="sv-SE"/>
        </w:rPr>
      </w:r>
      <w:r>
        <w:rPr>
          <w:lang w:eastAsia="sv-SE"/>
        </w:rPr>
        <w:fldChar w:fldCharType="separate"/>
      </w:r>
      <w:r w:rsidR="004C47DF" w:rsidRPr="00F66FC5">
        <w:rPr>
          <w:lang w:eastAsia="sv-SE"/>
        </w:rPr>
        <w:t>[17]</w:t>
      </w:r>
      <w:r>
        <w:rPr>
          <w:lang w:eastAsia="sv-SE"/>
        </w:rPr>
        <w:fldChar w:fldCharType="end"/>
      </w:r>
      <w:r w:rsidRPr="00F66FC5">
        <w:rPr>
          <w:lang w:eastAsia="sv-SE"/>
        </w:rPr>
        <w:t xml:space="preserve">, see </w:t>
      </w:r>
      <w:r>
        <w:rPr>
          <w:lang w:eastAsia="sv-SE"/>
        </w:rPr>
        <w:fldChar w:fldCharType="begin"/>
      </w:r>
      <w:r w:rsidRPr="00F66FC5">
        <w:rPr>
          <w:lang w:eastAsia="sv-SE"/>
        </w:rPr>
        <w:instrText xml:space="preserve"> REF _Ref518387805 \h </w:instrText>
      </w:r>
      <w:r>
        <w:rPr>
          <w:lang w:eastAsia="sv-SE"/>
        </w:rPr>
      </w:r>
      <w:r>
        <w:rPr>
          <w:lang w:eastAsia="sv-SE"/>
        </w:rPr>
        <w:fldChar w:fldCharType="separate"/>
      </w:r>
      <w:r w:rsidR="004C47DF" w:rsidRPr="00F66FC5">
        <w:t xml:space="preserve">Figure </w:t>
      </w:r>
      <w:r w:rsidR="004C47DF" w:rsidRPr="00F66FC5">
        <w:rPr>
          <w:noProof/>
        </w:rPr>
        <w:t>6</w:t>
      </w:r>
      <w:r>
        <w:rPr>
          <w:lang w:eastAsia="sv-SE"/>
        </w:rPr>
        <w:fldChar w:fldCharType="end"/>
      </w:r>
      <w:r w:rsidRPr="00F66FC5">
        <w:rPr>
          <w:lang w:eastAsia="sv-SE"/>
        </w:rPr>
        <w:t>. By introducing additional low power nodes, the user performance is significantly improved. This performance increase results in a shorter transmission time of most data packets, creating longer idle time in the network nodes.</w:t>
      </w:r>
      <w:r w:rsidR="0027393A" w:rsidRPr="00F66FC5">
        <w:rPr>
          <w:lang w:eastAsia="sv-SE"/>
        </w:rPr>
        <w:t xml:space="preserve"> The small cells off-load the larger cells in the macro layer, and if the macro cells are configured with a sufficient degree of energy saving features (e.g. es discussed in sub-section above), the result is a lower total energy consumption.</w:t>
      </w:r>
    </w:p>
    <w:p w14:paraId="1107D632" w14:textId="77777777" w:rsidR="002A40F8" w:rsidRDefault="002A40F8" w:rsidP="002A40F8">
      <w:pPr>
        <w:keepNext/>
        <w:jc w:val="center"/>
      </w:pPr>
      <w:r>
        <w:rPr>
          <w:noProof/>
          <w:lang w:val="en-GB" w:eastAsia="zh-CN"/>
        </w:rPr>
        <w:drawing>
          <wp:inline distT="0" distB="0" distL="0" distR="0" wp14:anchorId="535492F5" wp14:editId="40420044">
            <wp:extent cx="6264275" cy="1883811"/>
            <wp:effectExtent l="0" t="0" r="3175"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7638" cy="1893844"/>
                    </a:xfrm>
                    <a:prstGeom prst="rect">
                      <a:avLst/>
                    </a:prstGeom>
                    <a:noFill/>
                  </pic:spPr>
                </pic:pic>
              </a:graphicData>
            </a:graphic>
          </wp:inline>
        </w:drawing>
      </w:r>
    </w:p>
    <w:p w14:paraId="412403FC" w14:textId="5F0DEA1D" w:rsidR="002A40F8" w:rsidRPr="00F66FC5" w:rsidRDefault="002A40F8" w:rsidP="002A40F8">
      <w:pPr>
        <w:pStyle w:val="Caption"/>
        <w:jc w:val="left"/>
      </w:pPr>
      <w:bookmarkStart w:id="9" w:name="_Ref518387805"/>
      <w:r w:rsidRPr="00F66FC5">
        <w:t xml:space="preserve">Figure </w:t>
      </w:r>
      <w:r>
        <w:fldChar w:fldCharType="begin"/>
      </w:r>
      <w:r w:rsidRPr="00F66FC5">
        <w:instrText xml:space="preserve"> SEQ Figure \* ARABIC </w:instrText>
      </w:r>
      <w:r>
        <w:fldChar w:fldCharType="separate"/>
      </w:r>
      <w:r w:rsidR="004C47DF" w:rsidRPr="00F66FC5">
        <w:rPr>
          <w:noProof/>
        </w:rPr>
        <w:t>6</w:t>
      </w:r>
      <w:r>
        <w:fldChar w:fldCharType="end"/>
      </w:r>
      <w:bookmarkEnd w:id="9"/>
      <w:r w:rsidRPr="00F66FC5">
        <w:t xml:space="preserve">: </w:t>
      </w:r>
      <w:r w:rsidR="0027393A" w:rsidRPr="00F66FC5">
        <w:t xml:space="preserve">Adding small cells in an existing highly loaded network can result in a decrease in total energy consumption (see ‘HN EE’ results in left figure). The energy saving features (small cell on-off and macro cell DTX) does not significantly impact the user performance (see right figure). Detailed simulation assumptions are explained in </w:t>
      </w:r>
      <w:r w:rsidR="0027393A">
        <w:fldChar w:fldCharType="begin"/>
      </w:r>
      <w:r w:rsidR="0027393A" w:rsidRPr="00F66FC5">
        <w:instrText xml:space="preserve"> REF _Ref518387787 \r \h </w:instrText>
      </w:r>
      <w:r w:rsidR="0027393A">
        <w:fldChar w:fldCharType="separate"/>
      </w:r>
      <w:r w:rsidR="004C47DF" w:rsidRPr="00F66FC5">
        <w:t>[17]</w:t>
      </w:r>
      <w:r w:rsidR="0027393A">
        <w:fldChar w:fldCharType="end"/>
      </w:r>
      <w:r w:rsidR="0027393A" w:rsidRPr="00F66FC5">
        <w:t xml:space="preserve">. </w:t>
      </w:r>
    </w:p>
    <w:p w14:paraId="68F887AA" w14:textId="7EBF52A7" w:rsidR="0027393A" w:rsidRPr="00F66FC5" w:rsidRDefault="0027393A" w:rsidP="0027393A">
      <w:r w:rsidRPr="00F66FC5">
        <w:t xml:space="preserve">De-activating small cells can only be done in case they can be activated quickly when they are needed. Field trials have shown that this can be performed in existing LTE network without any significant impact on user performance </w:t>
      </w:r>
      <w:r>
        <w:fldChar w:fldCharType="begin"/>
      </w:r>
      <w:r w:rsidRPr="00F66FC5">
        <w:instrText xml:space="preserve"> REF _Ref518388324 \r \h </w:instrText>
      </w:r>
      <w:r>
        <w:fldChar w:fldCharType="separate"/>
      </w:r>
      <w:r w:rsidR="004C47DF" w:rsidRPr="00F66FC5">
        <w:t>[18]</w:t>
      </w:r>
      <w:r>
        <w:fldChar w:fldCharType="end"/>
      </w:r>
      <w:r w:rsidRPr="00F66FC5">
        <w:t>.</w:t>
      </w:r>
    </w:p>
    <w:p w14:paraId="79AF4328" w14:textId="35A57B17" w:rsidR="009A6443" w:rsidRDefault="009A6443" w:rsidP="009A6443">
      <w:pPr>
        <w:pStyle w:val="Heading2"/>
      </w:pPr>
      <w:r>
        <w:t>Multi-RAT power amplifier sharing</w:t>
      </w:r>
    </w:p>
    <w:p w14:paraId="68893B6A" w14:textId="4623C4FC" w:rsidR="0027393A" w:rsidRPr="00F526BA" w:rsidRDefault="00F93D34" w:rsidP="0027393A">
      <w:pPr>
        <w:pStyle w:val="BodyText"/>
        <w:rPr>
          <w:lang w:val="en-AU"/>
        </w:rPr>
      </w:pPr>
      <w:r w:rsidRPr="00F66FC5">
        <w:t>A</w:t>
      </w:r>
      <w:r w:rsidR="0027393A" w:rsidRPr="00F66FC5">
        <w:t xml:space="preserve"> multi-RAT RBS where the RATs share the power amplifier (PA) have the potential to reduce the site energy consumption with 40% compared to a multi-RAT RBS with separate PAs for each RAT</w:t>
      </w:r>
      <w:r w:rsidRPr="00F66FC5">
        <w:t xml:space="preserve">, see </w:t>
      </w:r>
      <w:r>
        <w:fldChar w:fldCharType="begin"/>
      </w:r>
      <w:r w:rsidRPr="00F66FC5">
        <w:instrText xml:space="preserve"> REF _Ref518388678 \h </w:instrText>
      </w:r>
      <w:r>
        <w:fldChar w:fldCharType="separate"/>
      </w:r>
      <w:r w:rsidR="004C47DF" w:rsidRPr="00F66FC5">
        <w:t xml:space="preserve">Figure </w:t>
      </w:r>
      <w:r w:rsidR="004C47DF" w:rsidRPr="00F66FC5">
        <w:rPr>
          <w:noProof/>
        </w:rPr>
        <w:t>7</w:t>
      </w:r>
      <w:r>
        <w:fldChar w:fldCharType="end"/>
      </w:r>
      <w:r w:rsidRPr="00F66FC5">
        <w:t xml:space="preserve"> and </w:t>
      </w:r>
      <w:r>
        <w:fldChar w:fldCharType="begin"/>
      </w:r>
      <w:r w:rsidRPr="00F66FC5">
        <w:instrText xml:space="preserve"> REF _Ref518388680 \h </w:instrText>
      </w:r>
      <w:r>
        <w:fldChar w:fldCharType="separate"/>
      </w:r>
      <w:r w:rsidR="004C47DF" w:rsidRPr="00F66FC5">
        <w:t xml:space="preserve">Figure </w:t>
      </w:r>
      <w:r w:rsidR="004C47DF" w:rsidRPr="00F66FC5">
        <w:rPr>
          <w:noProof/>
        </w:rPr>
        <w:t>8</w:t>
      </w:r>
      <w:r>
        <w:fldChar w:fldCharType="end"/>
      </w:r>
      <w:r w:rsidRPr="00F66FC5">
        <w:t xml:space="preserve"> </w:t>
      </w:r>
      <w:r>
        <w:fldChar w:fldCharType="begin"/>
      </w:r>
      <w:r w:rsidRPr="00F66FC5">
        <w:instrText xml:space="preserve"> REF _Ref518388551 \r \h </w:instrText>
      </w:r>
      <w:r>
        <w:fldChar w:fldCharType="separate"/>
      </w:r>
      <w:r w:rsidR="004C47DF" w:rsidRPr="00F66FC5">
        <w:t>[15]</w:t>
      </w:r>
      <w:r>
        <w:fldChar w:fldCharType="end"/>
      </w:r>
      <w:r w:rsidR="0027393A" w:rsidRPr="00F66FC5">
        <w:t xml:space="preserve">. For operators with multiple RATs on the same site but using separate PAs per RAT, it is still possible to reduce energy consumption by utilizing load balancing between the RATs. </w:t>
      </w:r>
      <w:r w:rsidRPr="00F66FC5">
        <w:t>The</w:t>
      </w:r>
      <w:r w:rsidR="0027393A" w:rsidRPr="00F66FC5">
        <w:t xml:space="preserve"> study </w:t>
      </w:r>
      <w:r>
        <w:fldChar w:fldCharType="begin"/>
      </w:r>
      <w:r w:rsidRPr="00F66FC5">
        <w:instrText xml:space="preserve"> REF _Ref518388551 \r \h </w:instrText>
      </w:r>
      <w:r>
        <w:fldChar w:fldCharType="separate"/>
      </w:r>
      <w:r w:rsidR="004C47DF" w:rsidRPr="00F66FC5">
        <w:t>[15]</w:t>
      </w:r>
      <w:r>
        <w:fldChar w:fldCharType="end"/>
      </w:r>
      <w:r w:rsidRPr="00F66FC5">
        <w:t xml:space="preserve"> </w:t>
      </w:r>
      <w:r w:rsidR="009E2547" w:rsidRPr="00F66FC5">
        <w:t xml:space="preserve">further </w:t>
      </w:r>
      <w:r w:rsidR="0027393A" w:rsidRPr="00F66FC5">
        <w:t xml:space="preserve">shows that a potential energy reduction of 30% is possible by utilizing load balancing between HS and LTE. </w:t>
      </w:r>
    </w:p>
    <w:p w14:paraId="286FEAA3" w14:textId="77777777" w:rsidR="0027393A" w:rsidRPr="0027393A" w:rsidRDefault="0027393A" w:rsidP="0027393A">
      <w:pPr>
        <w:rPr>
          <w:lang w:val="en-AU" w:eastAsia="zh-CN"/>
        </w:rPr>
      </w:pPr>
    </w:p>
    <w:p w14:paraId="63DEC747" w14:textId="77777777" w:rsidR="009A6443" w:rsidRDefault="009A6443" w:rsidP="009A6443">
      <w:pPr>
        <w:keepNext/>
        <w:jc w:val="center"/>
      </w:pPr>
      <w:r>
        <w:rPr>
          <w:noProof/>
          <w:lang w:val="en-GB" w:eastAsia="zh-CN"/>
        </w:rPr>
        <w:drawing>
          <wp:inline distT="0" distB="0" distL="0" distR="0" wp14:anchorId="3E3C4B6C" wp14:editId="39AB9813">
            <wp:extent cx="4277360" cy="2427717"/>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3974" cy="2431471"/>
                    </a:xfrm>
                    <a:prstGeom prst="rect">
                      <a:avLst/>
                    </a:prstGeom>
                    <a:noFill/>
                  </pic:spPr>
                </pic:pic>
              </a:graphicData>
            </a:graphic>
          </wp:inline>
        </w:drawing>
      </w:r>
    </w:p>
    <w:p w14:paraId="2421B4D1" w14:textId="0C995940" w:rsidR="009A6443" w:rsidRPr="00F66FC5" w:rsidRDefault="009A6443" w:rsidP="009A6443">
      <w:pPr>
        <w:pStyle w:val="Caption"/>
        <w:jc w:val="left"/>
      </w:pPr>
      <w:bookmarkStart w:id="10" w:name="_Ref518388678"/>
      <w:bookmarkStart w:id="11" w:name="_Ref518388674"/>
      <w:r w:rsidRPr="00F66FC5">
        <w:t xml:space="preserve">Figure </w:t>
      </w:r>
      <w:r>
        <w:fldChar w:fldCharType="begin"/>
      </w:r>
      <w:r w:rsidRPr="00F66FC5">
        <w:instrText xml:space="preserve"> SEQ Figure \* ARABIC </w:instrText>
      </w:r>
      <w:r>
        <w:fldChar w:fldCharType="separate"/>
      </w:r>
      <w:r w:rsidR="004C47DF" w:rsidRPr="00F66FC5">
        <w:rPr>
          <w:noProof/>
        </w:rPr>
        <w:t>7</w:t>
      </w:r>
      <w:r>
        <w:fldChar w:fldCharType="end"/>
      </w:r>
      <w:bookmarkEnd w:id="10"/>
      <w:r w:rsidRPr="00F66FC5">
        <w:t xml:space="preserve">: </w:t>
      </w:r>
      <w:r w:rsidR="00F93D34" w:rsidRPr="00F66FC5">
        <w:t>Site modernization can enable multiple RATs to use the same power amplifier</w:t>
      </w:r>
      <w:r w:rsidRPr="00F66FC5">
        <w:t>.</w:t>
      </w:r>
      <w:bookmarkEnd w:id="11"/>
    </w:p>
    <w:p w14:paraId="43C850D9" w14:textId="77777777" w:rsidR="009A6443" w:rsidRDefault="009A6443" w:rsidP="009A6443">
      <w:pPr>
        <w:keepNext/>
        <w:jc w:val="center"/>
      </w:pPr>
      <w:r>
        <w:rPr>
          <w:noProof/>
          <w:lang w:val="en-GB" w:eastAsia="zh-CN"/>
        </w:rPr>
        <w:drawing>
          <wp:inline distT="0" distB="0" distL="0" distR="0" wp14:anchorId="04D7A4F1" wp14:editId="6EFE5D76">
            <wp:extent cx="4633595" cy="3474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595" cy="3474720"/>
                    </a:xfrm>
                    <a:prstGeom prst="rect">
                      <a:avLst/>
                    </a:prstGeom>
                    <a:noFill/>
                  </pic:spPr>
                </pic:pic>
              </a:graphicData>
            </a:graphic>
          </wp:inline>
        </w:drawing>
      </w:r>
    </w:p>
    <w:p w14:paraId="06EFA5BC" w14:textId="26645FC0" w:rsidR="009A6443" w:rsidRPr="00F66FC5" w:rsidRDefault="009A6443" w:rsidP="009A6443">
      <w:pPr>
        <w:pStyle w:val="Caption"/>
        <w:jc w:val="left"/>
      </w:pPr>
      <w:bookmarkStart w:id="12" w:name="_Ref518388680"/>
      <w:r w:rsidRPr="00F66FC5">
        <w:t xml:space="preserve">Figure </w:t>
      </w:r>
      <w:r>
        <w:fldChar w:fldCharType="begin"/>
      </w:r>
      <w:r w:rsidRPr="00F66FC5">
        <w:instrText xml:space="preserve"> SEQ Figure \* ARABIC </w:instrText>
      </w:r>
      <w:r>
        <w:fldChar w:fldCharType="separate"/>
      </w:r>
      <w:r w:rsidR="004C47DF" w:rsidRPr="00F66FC5">
        <w:rPr>
          <w:noProof/>
        </w:rPr>
        <w:t>8</w:t>
      </w:r>
      <w:r>
        <w:fldChar w:fldCharType="end"/>
      </w:r>
      <w:bookmarkEnd w:id="12"/>
      <w:r w:rsidRPr="00F66FC5">
        <w:t xml:space="preserve">: </w:t>
      </w:r>
      <w:r w:rsidR="00F93D34" w:rsidRPr="00F66FC5">
        <w:t xml:space="preserve">Compared to multi-RAT networks with a “dual single RAT PA” configuration, a network with a “single dual RAT PA” configuration can reduce the country wide energy consumption with approximately 40 % (see </w:t>
      </w:r>
      <w:r w:rsidR="00F93D34">
        <w:fldChar w:fldCharType="begin"/>
      </w:r>
      <w:r w:rsidR="00F93D34" w:rsidRPr="00F66FC5">
        <w:instrText xml:space="preserve"> REF _Ref518388551 \r \h </w:instrText>
      </w:r>
      <w:r w:rsidR="00F93D34">
        <w:fldChar w:fldCharType="separate"/>
      </w:r>
      <w:r w:rsidR="004C47DF" w:rsidRPr="00F66FC5">
        <w:t>[15]</w:t>
      </w:r>
      <w:r w:rsidR="00F93D34">
        <w:fldChar w:fldCharType="end"/>
      </w:r>
      <w:r w:rsidR="00F93D34" w:rsidRPr="00F66FC5">
        <w:t xml:space="preserve"> for evaluation details).</w:t>
      </w:r>
    </w:p>
    <w:p w14:paraId="5E5EF1FA" w14:textId="4185A5EB" w:rsidR="009A6443" w:rsidRDefault="009A6443" w:rsidP="009A6443">
      <w:pPr>
        <w:pStyle w:val="Heading2"/>
      </w:pPr>
      <w:r>
        <w:t>Network sharing</w:t>
      </w:r>
    </w:p>
    <w:p w14:paraId="3F3AF672" w14:textId="1E4B1AC3" w:rsidR="009E2547" w:rsidRPr="009E2547" w:rsidRDefault="004337AC" w:rsidP="009E2547">
      <w:pPr>
        <w:rPr>
          <w:lang w:val="en-GB" w:eastAsia="zh-CN"/>
        </w:rPr>
      </w:pPr>
      <w:r>
        <w:rPr>
          <w:lang w:val="en-GB" w:eastAsia="zh-CN"/>
        </w:rPr>
        <w:t xml:space="preserve">In large parts of the network there is no need to deploy one network per operator, and operator sharing is then a viable alternative for reducing the network energy consumption, see </w:t>
      </w:r>
      <w:r>
        <w:rPr>
          <w:lang w:val="en-GB" w:eastAsia="zh-CN"/>
        </w:rPr>
        <w:fldChar w:fldCharType="begin"/>
      </w:r>
      <w:r>
        <w:rPr>
          <w:lang w:val="en-GB" w:eastAsia="zh-CN"/>
        </w:rPr>
        <w:instrText xml:space="preserve"> REF _Ref518389181 \h </w:instrText>
      </w:r>
      <w:r>
        <w:rPr>
          <w:lang w:val="en-GB" w:eastAsia="zh-CN"/>
        </w:rPr>
      </w:r>
      <w:r>
        <w:rPr>
          <w:lang w:val="en-GB" w:eastAsia="zh-CN"/>
        </w:rPr>
        <w:fldChar w:fldCharType="separate"/>
      </w:r>
      <w:r w:rsidR="004C47DF" w:rsidRPr="00F66FC5">
        <w:t xml:space="preserve">Figure </w:t>
      </w:r>
      <w:r w:rsidR="004C47DF" w:rsidRPr="00F66FC5">
        <w:rPr>
          <w:noProof/>
        </w:rPr>
        <w:t>9</w:t>
      </w:r>
      <w:r>
        <w:rPr>
          <w:lang w:val="en-GB" w:eastAsia="zh-CN"/>
        </w:rPr>
        <w:fldChar w:fldCharType="end"/>
      </w:r>
      <w:r>
        <w:rPr>
          <w:lang w:val="en-GB" w:eastAsia="zh-CN"/>
        </w:rPr>
        <w:t xml:space="preserve">. Ether the shared network has half as many sites, but each site has twice the bandwidth, twice the power, and twice the traffic (right-top part of </w:t>
      </w:r>
      <w:r>
        <w:rPr>
          <w:lang w:val="en-GB" w:eastAsia="zh-CN"/>
        </w:rPr>
        <w:fldChar w:fldCharType="begin"/>
      </w:r>
      <w:r>
        <w:rPr>
          <w:lang w:val="en-GB" w:eastAsia="zh-CN"/>
        </w:rPr>
        <w:instrText xml:space="preserve"> REF _Ref518389181 \h </w:instrText>
      </w:r>
      <w:r>
        <w:rPr>
          <w:lang w:val="en-GB" w:eastAsia="zh-CN"/>
        </w:rPr>
      </w:r>
      <w:r>
        <w:rPr>
          <w:lang w:val="en-GB" w:eastAsia="zh-CN"/>
        </w:rPr>
        <w:fldChar w:fldCharType="separate"/>
      </w:r>
      <w:r w:rsidR="004C47DF" w:rsidRPr="00F66FC5">
        <w:t xml:space="preserve">Figure </w:t>
      </w:r>
      <w:r w:rsidR="004C47DF" w:rsidRPr="00F66FC5">
        <w:rPr>
          <w:noProof/>
        </w:rPr>
        <w:t>9</w:t>
      </w:r>
      <w:r>
        <w:rPr>
          <w:lang w:val="en-GB" w:eastAsia="zh-CN"/>
        </w:rPr>
        <w:fldChar w:fldCharType="end"/>
      </w:r>
      <w:r>
        <w:rPr>
          <w:lang w:val="en-GB" w:eastAsia="zh-CN"/>
        </w:rPr>
        <w:t xml:space="preserve">). This kind of network sharing can reduce the energy consumption with approximately 25%. If instead also the bandwidth is shared, such that only the traffic is doubled but not the power and bandwidth of each site then the energy savings amount to approximately 40% (right-bottom part of </w:t>
      </w:r>
      <w:r>
        <w:rPr>
          <w:lang w:val="en-GB" w:eastAsia="zh-CN"/>
        </w:rPr>
        <w:fldChar w:fldCharType="begin"/>
      </w:r>
      <w:r>
        <w:rPr>
          <w:lang w:val="en-GB" w:eastAsia="zh-CN"/>
        </w:rPr>
        <w:instrText xml:space="preserve"> REF _Ref518389181 \h </w:instrText>
      </w:r>
      <w:r>
        <w:rPr>
          <w:lang w:val="en-GB" w:eastAsia="zh-CN"/>
        </w:rPr>
      </w:r>
      <w:r>
        <w:rPr>
          <w:lang w:val="en-GB" w:eastAsia="zh-CN"/>
        </w:rPr>
        <w:fldChar w:fldCharType="separate"/>
      </w:r>
      <w:r w:rsidR="004C47DF" w:rsidRPr="00F66FC5">
        <w:t xml:space="preserve">Figure </w:t>
      </w:r>
      <w:r w:rsidR="004C47DF" w:rsidRPr="00F66FC5">
        <w:rPr>
          <w:noProof/>
        </w:rPr>
        <w:t>9</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_Ref518389422 \r \h </w:instrText>
      </w:r>
      <w:r>
        <w:rPr>
          <w:lang w:val="en-GB" w:eastAsia="zh-CN"/>
        </w:rPr>
      </w:r>
      <w:r>
        <w:rPr>
          <w:lang w:val="en-GB" w:eastAsia="zh-CN"/>
        </w:rPr>
        <w:fldChar w:fldCharType="separate"/>
      </w:r>
      <w:r w:rsidR="004C47DF">
        <w:rPr>
          <w:lang w:val="en-GB" w:eastAsia="zh-CN"/>
        </w:rPr>
        <w:t>[16]</w:t>
      </w:r>
      <w:r>
        <w:rPr>
          <w:lang w:val="en-GB" w:eastAsia="zh-CN"/>
        </w:rPr>
        <w:fldChar w:fldCharType="end"/>
      </w:r>
      <w:r>
        <w:rPr>
          <w:lang w:val="en-GB" w:eastAsia="zh-CN"/>
        </w:rPr>
        <w:t>.</w:t>
      </w:r>
    </w:p>
    <w:p w14:paraId="3EF8511D" w14:textId="77777777" w:rsidR="009A6443" w:rsidRDefault="009A6443" w:rsidP="009A6443">
      <w:pPr>
        <w:keepNext/>
        <w:jc w:val="center"/>
      </w:pPr>
      <w:r>
        <w:rPr>
          <w:noProof/>
          <w:lang w:val="en-GB" w:eastAsia="zh-CN"/>
        </w:rPr>
        <w:drawing>
          <wp:inline distT="0" distB="0" distL="0" distR="0" wp14:anchorId="2F9D09C0" wp14:editId="6C296AB7">
            <wp:extent cx="5692775" cy="2782235"/>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6479" cy="2788933"/>
                    </a:xfrm>
                    <a:prstGeom prst="rect">
                      <a:avLst/>
                    </a:prstGeom>
                    <a:noFill/>
                  </pic:spPr>
                </pic:pic>
              </a:graphicData>
            </a:graphic>
          </wp:inline>
        </w:drawing>
      </w:r>
    </w:p>
    <w:p w14:paraId="75636F55" w14:textId="5922ECEF" w:rsidR="009A6443" w:rsidRPr="00F66FC5" w:rsidRDefault="009A6443" w:rsidP="009A6443">
      <w:pPr>
        <w:pStyle w:val="Caption"/>
        <w:jc w:val="left"/>
      </w:pPr>
      <w:bookmarkStart w:id="13" w:name="_Ref518389181"/>
      <w:r w:rsidRPr="00F66FC5">
        <w:t xml:space="preserve">Figure </w:t>
      </w:r>
      <w:r>
        <w:fldChar w:fldCharType="begin"/>
      </w:r>
      <w:r w:rsidRPr="00F66FC5">
        <w:instrText xml:space="preserve"> SEQ Figure \* ARABIC </w:instrText>
      </w:r>
      <w:r>
        <w:fldChar w:fldCharType="separate"/>
      </w:r>
      <w:r w:rsidR="004C47DF" w:rsidRPr="00F66FC5">
        <w:rPr>
          <w:noProof/>
        </w:rPr>
        <w:t>9</w:t>
      </w:r>
      <w:r>
        <w:fldChar w:fldCharType="end"/>
      </w:r>
      <w:bookmarkEnd w:id="13"/>
      <w:r w:rsidRPr="00F66FC5">
        <w:t xml:space="preserve">: </w:t>
      </w:r>
      <w:r w:rsidR="004337AC" w:rsidRPr="00F66FC5">
        <w:t>Network sharing in low traffic areas has the potential of reducing the total network energy consumption with 25-40%.</w:t>
      </w:r>
    </w:p>
    <w:p w14:paraId="3E287D49" w14:textId="1C5BA0B2" w:rsidR="00800EF8" w:rsidRDefault="004337AC" w:rsidP="00800EF8">
      <w:pPr>
        <w:pStyle w:val="Heading2"/>
      </w:pPr>
      <w:r>
        <w:rPr>
          <w:lang w:val="en-US"/>
        </w:rPr>
        <w:t>Modernize and build</w:t>
      </w:r>
      <w:r w:rsidR="00800EF8">
        <w:t xml:space="preserve"> with precision</w:t>
      </w:r>
    </w:p>
    <w:p w14:paraId="420B4E24" w14:textId="21B476C1" w:rsidR="005C3698" w:rsidRPr="00F66FC5" w:rsidRDefault="004337AC" w:rsidP="004337AC">
      <w:r>
        <w:rPr>
          <w:lang w:val="en-GB" w:eastAsia="zh-CN"/>
        </w:rPr>
        <w:t>Base station</w:t>
      </w:r>
      <w:r w:rsidR="00547F65">
        <w:rPr>
          <w:lang w:val="en-GB" w:eastAsia="zh-CN"/>
        </w:rPr>
        <w:t xml:space="preserve"> hardware</w:t>
      </w:r>
      <w:r>
        <w:rPr>
          <w:lang w:val="en-GB" w:eastAsia="zh-CN"/>
        </w:rPr>
        <w:t xml:space="preserve"> </w:t>
      </w:r>
      <w:r w:rsidR="009C1D18">
        <w:rPr>
          <w:lang w:val="en-GB" w:eastAsia="zh-CN"/>
        </w:rPr>
        <w:t>has</w:t>
      </w:r>
      <w:r w:rsidR="00A53873">
        <w:rPr>
          <w:lang w:val="en-GB" w:eastAsia="zh-CN"/>
        </w:rPr>
        <w:t xml:space="preserve"> historically</w:t>
      </w:r>
      <w:r>
        <w:rPr>
          <w:lang w:val="en-GB" w:eastAsia="zh-CN"/>
        </w:rPr>
        <w:t xml:space="preserve"> improved the energy efficiency by an average of 8% per year </w:t>
      </w:r>
      <w:r w:rsidR="0030114B">
        <w:rPr>
          <w:lang w:val="en-GB" w:eastAsia="zh-CN"/>
        </w:rPr>
        <w:fldChar w:fldCharType="begin"/>
      </w:r>
      <w:r w:rsidR="0030114B">
        <w:rPr>
          <w:lang w:val="en-GB" w:eastAsia="zh-CN"/>
        </w:rPr>
        <w:instrText xml:space="preserve"> REF _Ref518391997 \r \h </w:instrText>
      </w:r>
      <w:r w:rsidR="0030114B">
        <w:rPr>
          <w:lang w:val="en-GB" w:eastAsia="zh-CN"/>
        </w:rPr>
      </w:r>
      <w:r w:rsidR="0030114B">
        <w:rPr>
          <w:lang w:val="en-GB" w:eastAsia="zh-CN"/>
        </w:rPr>
        <w:fldChar w:fldCharType="separate"/>
      </w:r>
      <w:r w:rsidR="0030114B">
        <w:rPr>
          <w:lang w:val="en-GB" w:eastAsia="zh-CN"/>
        </w:rPr>
        <w:t>[20]</w:t>
      </w:r>
      <w:r w:rsidR="0030114B">
        <w:rPr>
          <w:lang w:val="en-GB" w:eastAsia="zh-CN"/>
        </w:rPr>
        <w:fldChar w:fldCharType="end"/>
      </w:r>
      <w:r>
        <w:rPr>
          <w:lang w:val="en-GB" w:eastAsia="zh-CN"/>
        </w:rPr>
        <w:t>. Hence, hardware modernization is particularly effective for older GSM and WCDMA base stations</w:t>
      </w:r>
      <w:r w:rsidR="005C3698">
        <w:rPr>
          <w:lang w:val="en-GB" w:eastAsia="zh-CN"/>
        </w:rPr>
        <w:t xml:space="preserve">. But even many LTE base stations in operation are soon approaching 10 years of age and could be potentially interesting for modernization. A study on the impact of network modernization showed that </w:t>
      </w:r>
      <w:r w:rsidR="005C3698" w:rsidRPr="00F66FC5">
        <w:t xml:space="preserve">by replacing existing 2G or 3G hardware with modern equipment the energy consumption per node can be reduced by </w:t>
      </w:r>
      <w:r w:rsidR="00547F65" w:rsidRPr="00F66FC5">
        <w:t>more than</w:t>
      </w:r>
      <w:r w:rsidR="005C3698" w:rsidRPr="00F66FC5">
        <w:t xml:space="preserve"> 50% </w:t>
      </w:r>
      <w:r w:rsidR="005C3698">
        <w:fldChar w:fldCharType="begin"/>
      </w:r>
      <w:r w:rsidR="005C3698" w:rsidRPr="00F66FC5">
        <w:instrText xml:space="preserve"> REF _Ref518389422 \r \h </w:instrText>
      </w:r>
      <w:r w:rsidR="005C3698">
        <w:fldChar w:fldCharType="separate"/>
      </w:r>
      <w:r w:rsidR="004C47DF" w:rsidRPr="00F66FC5">
        <w:t>[16]</w:t>
      </w:r>
      <w:r w:rsidR="005C3698">
        <w:fldChar w:fldCharType="end"/>
      </w:r>
      <w:r w:rsidR="005C3698" w:rsidRPr="00F66FC5">
        <w:t>.</w:t>
      </w:r>
    </w:p>
    <w:p w14:paraId="546B450D" w14:textId="58E5A853" w:rsidR="00547F65" w:rsidRPr="00547F65" w:rsidRDefault="00547F65" w:rsidP="00547F65">
      <w:pPr>
        <w:rPr>
          <w:lang w:val="en-GB" w:eastAsia="zh-CN"/>
        </w:rPr>
      </w:pPr>
      <w:r>
        <w:rPr>
          <w:lang w:val="en-GB" w:eastAsia="zh-CN"/>
        </w:rPr>
        <w:t xml:space="preserve">Equally important is to build the network with precision and not over dimension the hardware configuration at the site. </w:t>
      </w:r>
      <w:r w:rsidRPr="00F66FC5">
        <w:t>With many product variants to choose from, operators can create radio base station site configurations with both sufficient capacity and minimum energy consumption. However, due to the exceptional radio efficiency and processing capacity available in mod</w:t>
      </w:r>
      <w:r w:rsidRPr="00F66FC5">
        <w:softHyphen/>
        <w:t xml:space="preserve">ern products, the maximum available capacity tends to be far greater than needed for many of the radio base station sites. </w:t>
      </w:r>
    </w:p>
    <w:p w14:paraId="65ED437C" w14:textId="18666BB9" w:rsidR="00547F65" w:rsidRPr="00F66FC5" w:rsidRDefault="00547F65" w:rsidP="00547F65">
      <w:pPr>
        <w:pStyle w:val="BodyText"/>
        <w:rPr>
          <w:rFonts w:cs="Swift"/>
          <w:color w:val="000000"/>
        </w:rPr>
      </w:pPr>
      <w:r w:rsidRPr="00F66FC5">
        <w:t xml:space="preserve">Contrary to what might be expected, over-dimensioning does not always result in performance gains. Instead, it more often leads to increased </w:t>
      </w:r>
      <w:r w:rsidR="0030114B" w:rsidRPr="00F66FC5">
        <w:t>OPEX</w:t>
      </w:r>
      <w:r w:rsidRPr="00F66FC5">
        <w:t xml:space="preserve">, higher energy consumption, and inflated </w:t>
      </w:r>
      <w:r w:rsidR="0030114B" w:rsidRPr="00F66FC5">
        <w:t>CAPEX</w:t>
      </w:r>
      <w:r w:rsidRPr="00F66FC5">
        <w:t xml:space="preserve"> – </w:t>
      </w:r>
      <w:proofErr w:type="gramStart"/>
      <w:r w:rsidRPr="00F66FC5">
        <w:t>all of</w:t>
      </w:r>
      <w:proofErr w:type="gramEnd"/>
      <w:r w:rsidRPr="00F66FC5">
        <w:t xml:space="preserve"> which impact TCO. In one trial, energy consump</w:t>
      </w:r>
      <w:r w:rsidRPr="00F66FC5">
        <w:softHyphen/>
        <w:t xml:space="preserve">tion of a deployment with traditional large capacity radio base stations was compared with that of a more precisely matched mix of solutions. Results showed that it is possible to reduce energy consumption by 40 percent </w:t>
      </w:r>
      <w:r w:rsidRPr="00F66FC5">
        <w:rPr>
          <w:rFonts w:cs="Swift"/>
          <w:color w:val="000000"/>
        </w:rPr>
        <w:t>while maintaining network perfor</w:t>
      </w:r>
      <w:r w:rsidRPr="00F66FC5">
        <w:rPr>
          <w:rFonts w:cs="Swift"/>
          <w:color w:val="000000"/>
        </w:rPr>
        <w:softHyphen/>
        <w:t xml:space="preserve">mance </w:t>
      </w:r>
      <w:r>
        <w:rPr>
          <w:rFonts w:cs="Swift"/>
          <w:color w:val="000000"/>
        </w:rPr>
        <w:fldChar w:fldCharType="begin"/>
      </w:r>
      <w:r w:rsidRPr="00F66FC5">
        <w:rPr>
          <w:rFonts w:cs="Swift"/>
          <w:color w:val="000000"/>
        </w:rPr>
        <w:instrText xml:space="preserve"> REF _Ref518390248 \r \h </w:instrText>
      </w:r>
      <w:r>
        <w:rPr>
          <w:rFonts w:cs="Swift"/>
          <w:color w:val="000000"/>
        </w:rPr>
      </w:r>
      <w:r>
        <w:rPr>
          <w:rFonts w:cs="Swift"/>
          <w:color w:val="000000"/>
        </w:rPr>
        <w:fldChar w:fldCharType="separate"/>
      </w:r>
      <w:r w:rsidR="004C47DF" w:rsidRPr="00F66FC5">
        <w:rPr>
          <w:rFonts w:cs="Swift"/>
          <w:color w:val="000000"/>
        </w:rPr>
        <w:t>[19]</w:t>
      </w:r>
      <w:r>
        <w:rPr>
          <w:rFonts w:cs="Swift"/>
          <w:color w:val="000000"/>
        </w:rPr>
        <w:fldChar w:fldCharType="end"/>
      </w:r>
      <w:r w:rsidRPr="00F66FC5">
        <w:rPr>
          <w:rFonts w:cs="Swift"/>
          <w:color w:val="000000"/>
        </w:rPr>
        <w:t xml:space="preserve">. </w:t>
      </w:r>
    </w:p>
    <w:p w14:paraId="4811D3A3" w14:textId="58654362" w:rsidR="00C01F33" w:rsidRDefault="00C01F33" w:rsidP="00CE0424">
      <w:pPr>
        <w:pStyle w:val="Heading1"/>
        <w:rPr>
          <w:lang w:val="en-US"/>
        </w:rPr>
      </w:pPr>
      <w:bookmarkStart w:id="14" w:name="_Ref473719292"/>
      <w:r w:rsidRPr="006877C1">
        <w:rPr>
          <w:lang w:val="en-US"/>
        </w:rPr>
        <w:t>Conclusion</w:t>
      </w:r>
      <w:bookmarkEnd w:id="14"/>
    </w:p>
    <w:p w14:paraId="3B86660B" w14:textId="3DC7974F" w:rsidR="00AC586C" w:rsidRPr="00F66FC5" w:rsidRDefault="004C47DF" w:rsidP="004C47DF">
      <w:pPr>
        <w:rPr>
          <w:lang w:eastAsia="zh-CN"/>
        </w:rPr>
      </w:pPr>
      <w:r w:rsidRPr="00F66FC5">
        <w:rPr>
          <w:lang w:eastAsia="zh-CN"/>
        </w:rPr>
        <w:t>LTE networks offers s</w:t>
      </w:r>
      <w:r w:rsidR="00AC586C" w:rsidRPr="00F66FC5">
        <w:rPr>
          <w:lang w:eastAsia="zh-CN"/>
        </w:rPr>
        <w:t>ignificant potential for energy savings</w:t>
      </w:r>
      <w:r w:rsidRPr="00F66FC5">
        <w:rPr>
          <w:lang w:eastAsia="zh-CN"/>
        </w:rPr>
        <w:t xml:space="preserve"> and in this contribution, we have outlined several possible solutions for how this can be achieved in practi</w:t>
      </w:r>
      <w:r w:rsidR="00F66FC5">
        <w:rPr>
          <w:lang w:eastAsia="zh-CN"/>
        </w:rPr>
        <w:t>c</w:t>
      </w:r>
      <w:r w:rsidRPr="00F66FC5">
        <w:rPr>
          <w:lang w:eastAsia="zh-CN"/>
        </w:rPr>
        <w:t>e. Note that the list of energy reducing methods presented here is not exhaustive, but they represent a selection of methods that are known to be effective. Also note that the gains in the different sections are not additive. In summary we conclude that with proper configuration, deployment and configuration</w:t>
      </w:r>
      <w:r w:rsidR="0030114B" w:rsidRPr="00F66FC5">
        <w:rPr>
          <w:lang w:eastAsia="zh-CN"/>
        </w:rPr>
        <w:t xml:space="preserve"> it is possible for LTE to meet the IMT-2020 requirements on radio network energy efficiency.</w:t>
      </w:r>
    </w:p>
    <w:p w14:paraId="4F410EEB" w14:textId="77777777" w:rsidR="00F507D1" w:rsidRPr="006877C1" w:rsidRDefault="00F507D1" w:rsidP="00CE0424">
      <w:pPr>
        <w:pStyle w:val="Heading1"/>
        <w:rPr>
          <w:lang w:val="en-US"/>
        </w:rPr>
      </w:pPr>
      <w:bookmarkStart w:id="15" w:name="_In-sequence_SDU_delivery"/>
      <w:bookmarkEnd w:id="15"/>
      <w:r w:rsidRPr="006877C1">
        <w:rPr>
          <w:lang w:val="en-US"/>
        </w:rPr>
        <w:t>References</w:t>
      </w:r>
    </w:p>
    <w:p w14:paraId="2AC82099" w14:textId="24D370C2" w:rsidR="00FE3DE2" w:rsidRPr="00F66FC5" w:rsidRDefault="00FE3DE2" w:rsidP="001D1B96">
      <w:pPr>
        <w:pStyle w:val="Reference"/>
      </w:pPr>
      <w:bookmarkStart w:id="16" w:name="_Ref473903597"/>
      <w:r w:rsidRPr="00F66FC5">
        <w:t xml:space="preserve">R1-1611900, </w:t>
      </w:r>
      <w:r w:rsidRPr="00F66FC5">
        <w:rPr>
          <w:i/>
        </w:rPr>
        <w:t>Long Network DTX in NR</w:t>
      </w:r>
      <w:r w:rsidR="002F04E4" w:rsidRPr="00F66FC5">
        <w:t>, Ericsson</w:t>
      </w:r>
      <w:r w:rsidR="001E0D3B" w:rsidRPr="00F66FC5">
        <w:t>,</w:t>
      </w:r>
      <w:r w:rsidRPr="00F66FC5">
        <w:t xml:space="preserve"> Reno, NV, USA, November 14th – 18th, 2016.</w:t>
      </w:r>
      <w:bookmarkEnd w:id="16"/>
    </w:p>
    <w:p w14:paraId="662EFE7B" w14:textId="79BB11BD" w:rsidR="006E0A61" w:rsidRPr="00F66FC5" w:rsidRDefault="006E0A61" w:rsidP="006E0A61">
      <w:pPr>
        <w:pStyle w:val="Reference"/>
      </w:pPr>
      <w:bookmarkStart w:id="17" w:name="_Ref474167584"/>
      <w:r w:rsidRPr="00F66FC5">
        <w:t xml:space="preserve">R1-1702121, </w:t>
      </w:r>
      <w:r w:rsidRPr="00F66FC5">
        <w:rPr>
          <w:i/>
        </w:rPr>
        <w:t>NR System Sync Frequency Raster</w:t>
      </w:r>
      <w:r w:rsidRPr="00F66FC5">
        <w:t>, Ericsson, Athens, Greece, February 13th – 17th, 2017.</w:t>
      </w:r>
      <w:bookmarkEnd w:id="17"/>
    </w:p>
    <w:p w14:paraId="54BF8EA7" w14:textId="4B8FBBA4" w:rsidR="001D1B96" w:rsidRPr="00F66FC5" w:rsidRDefault="001D1B96" w:rsidP="001D1B96">
      <w:pPr>
        <w:pStyle w:val="Reference"/>
      </w:pPr>
      <w:bookmarkStart w:id="18" w:name="_Ref473650823"/>
      <w:r w:rsidRPr="00F66FC5">
        <w:t xml:space="preserve">R1-1700293, </w:t>
      </w:r>
      <w:r w:rsidRPr="00F66FC5">
        <w:rPr>
          <w:i/>
        </w:rPr>
        <w:t>NR SS Frequency Raster</w:t>
      </w:r>
      <w:r w:rsidR="002F04E4" w:rsidRPr="00F66FC5">
        <w:t>, Ericsson</w:t>
      </w:r>
      <w:r w:rsidR="001E0D3B" w:rsidRPr="00F66FC5">
        <w:t xml:space="preserve">, </w:t>
      </w:r>
      <w:r w:rsidRPr="00F66FC5">
        <w:t>Spokane, WA, USA, January 16th – 20th, 2017.</w:t>
      </w:r>
      <w:bookmarkEnd w:id="18"/>
    </w:p>
    <w:p w14:paraId="58498ED7" w14:textId="77777777" w:rsidR="00E8330B" w:rsidRPr="00F66FC5" w:rsidRDefault="00F953FF" w:rsidP="00E8330B">
      <w:pPr>
        <w:pStyle w:val="Reference"/>
      </w:pPr>
      <w:bookmarkStart w:id="19" w:name="_Ref474173705"/>
      <w:bookmarkStart w:id="20" w:name="_Ref474168893"/>
      <w:r w:rsidRPr="00F66FC5">
        <w:t xml:space="preserve">R1-1702123, </w:t>
      </w:r>
      <w:r w:rsidRPr="00F66FC5">
        <w:rPr>
          <w:i/>
        </w:rPr>
        <w:t>Synchronization signal sequence design</w:t>
      </w:r>
      <w:r w:rsidRPr="00F66FC5">
        <w:t>, Ericsson, Athens, Greece, February 13th – 17th, 2017</w:t>
      </w:r>
      <w:bookmarkEnd w:id="19"/>
      <w:r w:rsidR="009C0BAD" w:rsidRPr="00F66FC5">
        <w:t>.</w:t>
      </w:r>
      <w:bookmarkStart w:id="21" w:name="_Ref518294408"/>
      <w:bookmarkEnd w:id="20"/>
    </w:p>
    <w:p w14:paraId="420CDC2B" w14:textId="3C81BD57" w:rsidR="00AE3514" w:rsidRPr="00F66FC5" w:rsidRDefault="00313D55" w:rsidP="00E8330B">
      <w:pPr>
        <w:pStyle w:val="Reference"/>
      </w:pPr>
      <w:r w:rsidRPr="00F66FC5">
        <w:t>R1-18</w:t>
      </w:r>
      <w:r w:rsidR="00E8330B" w:rsidRPr="00F66FC5">
        <w:t>05235</w:t>
      </w:r>
      <w:r w:rsidRPr="00F66FC5">
        <w:t xml:space="preserve">, IMT-2020 self-evaluation – Radio network energy performance, </w:t>
      </w:r>
      <w:bookmarkEnd w:id="21"/>
      <w:r w:rsidR="00E8330B" w:rsidRPr="00F66FC5">
        <w:t>3GPP TSG-RAN WG1 Meeting #93, Korea, May 21st – 25th 2018</w:t>
      </w:r>
    </w:p>
    <w:p w14:paraId="7AD4B01A" w14:textId="2207F6F5" w:rsidR="00E06AF6" w:rsidRDefault="00E06AF6" w:rsidP="00E06AF6">
      <w:pPr>
        <w:pStyle w:val="Reference"/>
      </w:pPr>
      <w:bookmarkStart w:id="22" w:name="_Ref518376355"/>
      <w:r w:rsidRPr="00F66FC5">
        <w:rPr>
          <w:lang w:eastAsia="sv-SE"/>
        </w:rPr>
        <w:t xml:space="preserve">P. Frenger, P. Moberg, J. </w:t>
      </w:r>
      <w:proofErr w:type="spellStart"/>
      <w:r w:rsidRPr="00F66FC5">
        <w:rPr>
          <w:lang w:eastAsia="sv-SE"/>
        </w:rPr>
        <w:t>Malmodin</w:t>
      </w:r>
      <w:proofErr w:type="spellEnd"/>
      <w:r w:rsidRPr="00F66FC5">
        <w:rPr>
          <w:lang w:eastAsia="sv-SE"/>
        </w:rPr>
        <w:t xml:space="preserve">, Y. Jading, and I. </w:t>
      </w:r>
      <w:proofErr w:type="spellStart"/>
      <w:r w:rsidRPr="00F66FC5">
        <w:rPr>
          <w:lang w:eastAsia="sv-SE"/>
        </w:rPr>
        <w:t>Gódor</w:t>
      </w:r>
      <w:proofErr w:type="spellEnd"/>
      <w:r w:rsidRPr="00F66FC5">
        <w:rPr>
          <w:rFonts w:cs="Courier"/>
          <w:lang w:eastAsia="sv-SE"/>
        </w:rPr>
        <w:t>, “</w:t>
      </w:r>
      <w:r w:rsidRPr="00F66FC5">
        <w:rPr>
          <w:lang w:eastAsia="sv-SE"/>
        </w:rPr>
        <w:t xml:space="preserve">Reducing Energy Consumption in LTE with Cell DTX”, in Proc. </w:t>
      </w:r>
      <w:r w:rsidRPr="00E06AF6">
        <w:rPr>
          <w:lang w:eastAsia="sv-SE"/>
        </w:rPr>
        <w:t>IEEE VTC-S</w:t>
      </w:r>
      <w:r w:rsidR="009F5777">
        <w:rPr>
          <w:lang w:eastAsia="sv-SE"/>
        </w:rPr>
        <w:t>pring</w:t>
      </w:r>
      <w:r w:rsidRPr="00E06AF6">
        <w:rPr>
          <w:lang w:eastAsia="sv-SE"/>
        </w:rPr>
        <w:t>-2011.</w:t>
      </w:r>
      <w:bookmarkEnd w:id="22"/>
    </w:p>
    <w:p w14:paraId="79560010" w14:textId="0831716C" w:rsidR="009F5777" w:rsidRDefault="009F5777" w:rsidP="00E06AF6">
      <w:pPr>
        <w:pStyle w:val="Reference"/>
      </w:pPr>
      <w:bookmarkStart w:id="23" w:name="_Ref518376381"/>
      <w:r w:rsidRPr="00F66FC5">
        <w:t>J.-F. (T.) Cheng, H. Koorapaty, P. Frenger, D. Larsson, S. Falahati, “</w:t>
      </w:r>
      <w:r w:rsidRPr="00F66FC5">
        <w:rPr>
          <w:lang w:eastAsia="zh-CN"/>
        </w:rPr>
        <w:t xml:space="preserve">Energy Efficiency Performance of LTE Dynamic Base Station Downlink DTX Operation”, in Proc. </w:t>
      </w:r>
      <w:r>
        <w:rPr>
          <w:lang w:eastAsia="zh-CN"/>
        </w:rPr>
        <w:t>IEEE VTC-Spring-2014.</w:t>
      </w:r>
      <w:bookmarkEnd w:id="23"/>
    </w:p>
    <w:p w14:paraId="6BD8E871" w14:textId="3F600B07" w:rsidR="00EF65EA" w:rsidRPr="00F66FC5" w:rsidRDefault="00EF65EA" w:rsidP="00EF65EA">
      <w:pPr>
        <w:pStyle w:val="Reference"/>
      </w:pPr>
      <w:bookmarkStart w:id="24" w:name="_Ref518380752"/>
      <w:r w:rsidRPr="00F66FC5">
        <w:t>C. Hoymann, D. Larsson, H. Koorapaty, and J.-F. (T.) Cheng, “A lean carrier for LTE”, IEEE Communications Magazine, February 2013.</w:t>
      </w:r>
      <w:bookmarkEnd w:id="24"/>
    </w:p>
    <w:p w14:paraId="6293D126" w14:textId="600D9EA6" w:rsidR="003D6DB5" w:rsidRPr="00F66FC5" w:rsidRDefault="002228DC" w:rsidP="003D6DB5">
      <w:pPr>
        <w:pStyle w:val="Reference"/>
      </w:pPr>
      <w:bookmarkStart w:id="25" w:name="_Ref518381115"/>
      <w:r w:rsidRPr="00F66FC5">
        <w:t xml:space="preserve">Ericsson Lean Carrier, </w:t>
      </w:r>
      <w:hyperlink r:id="rId17" w:history="1">
        <w:r w:rsidR="00A82F78" w:rsidRPr="00CE324E">
          <w:rPr>
            <w:rStyle w:val="Hyperlink"/>
            <w:lang w:val="en-US"/>
          </w:rPr>
          <w:t>https://www.ericsson.com/en/networks/offerings/4g-evolution/lean-carrier</w:t>
        </w:r>
      </w:hyperlink>
      <w:bookmarkEnd w:id="25"/>
      <w:r w:rsidR="003D6DB5" w:rsidRPr="00F66FC5">
        <w:t xml:space="preserve"> </w:t>
      </w:r>
    </w:p>
    <w:p w14:paraId="7155A740" w14:textId="15BD2C25" w:rsidR="001B7AE9" w:rsidRPr="00F66FC5" w:rsidRDefault="000D3D79" w:rsidP="001B7AE9">
      <w:pPr>
        <w:pStyle w:val="Reference"/>
      </w:pPr>
      <w:bookmarkStart w:id="26" w:name="_Ref518382137"/>
      <w:r w:rsidRPr="00F66FC5">
        <w:t xml:space="preserve">Low Energy Scheduler Solution (LESS), </w:t>
      </w:r>
      <w:hyperlink r:id="rId18" w:history="1">
        <w:r w:rsidRPr="00CE324E">
          <w:rPr>
            <w:rStyle w:val="Hyperlink"/>
            <w:lang w:val="en-US"/>
          </w:rPr>
          <w:t>https://www.ericsson.com/ourportfolio/radio-system/energy-efficiency</w:t>
        </w:r>
      </w:hyperlink>
      <w:bookmarkEnd w:id="26"/>
      <w:r w:rsidR="001B7AE9" w:rsidRPr="00F66FC5">
        <w:t xml:space="preserve"> </w:t>
      </w:r>
    </w:p>
    <w:p w14:paraId="725E8B54" w14:textId="05C05F33" w:rsidR="009A6443" w:rsidRPr="00F66FC5" w:rsidRDefault="009A6443" w:rsidP="009A6443">
      <w:pPr>
        <w:pStyle w:val="Reference"/>
      </w:pPr>
      <w:bookmarkStart w:id="27" w:name="_Ref518382492"/>
      <w:r w:rsidRPr="00F66FC5">
        <w:t>P. Frenger, H. Koorapaty, and J.-C. Guey, “Evaluation of Control Channel Performance with Adaptive Radio Unit Activation in LTE”, VTC-Spring-2012.</w:t>
      </w:r>
      <w:bookmarkEnd w:id="27"/>
    </w:p>
    <w:p w14:paraId="3014065C" w14:textId="469D7242" w:rsidR="009A6443" w:rsidRPr="00F66FC5" w:rsidRDefault="009A6443" w:rsidP="009A6443">
      <w:pPr>
        <w:pStyle w:val="Reference"/>
      </w:pPr>
      <w:bookmarkStart w:id="28" w:name="_Ref518382514"/>
      <w:r w:rsidRPr="00F66FC5">
        <w:t>P. Skillermark and P. Frenger, “Enhancing Energy Efficiency in LTE with Antenna Muting”, VTC-Spring-2012.</w:t>
      </w:r>
      <w:bookmarkEnd w:id="28"/>
    </w:p>
    <w:p w14:paraId="213538D4" w14:textId="48C33BAC" w:rsidR="00AC586C" w:rsidRPr="00F66FC5" w:rsidRDefault="00AC586C" w:rsidP="00AC586C">
      <w:pPr>
        <w:pStyle w:val="Reference"/>
      </w:pPr>
      <w:bookmarkStart w:id="29" w:name="_Ref518383300"/>
      <w:r w:rsidRPr="00F66FC5">
        <w:t xml:space="preserve">Ericsson Rural Coverage, </w:t>
      </w:r>
      <w:hyperlink r:id="rId19" w:history="1">
        <w:r w:rsidRPr="00CE324E">
          <w:rPr>
            <w:rStyle w:val="Hyperlink"/>
            <w:lang w:val="en-US"/>
          </w:rPr>
          <w:t>https://www.ericsson.com/ourportfolio/radio-system/rural-coverage</w:t>
        </w:r>
      </w:hyperlink>
      <w:bookmarkEnd w:id="29"/>
      <w:r w:rsidRPr="00F66FC5">
        <w:t xml:space="preserve"> </w:t>
      </w:r>
    </w:p>
    <w:p w14:paraId="134E76C2" w14:textId="1D3803F0" w:rsidR="009A6443" w:rsidRPr="00F66FC5" w:rsidRDefault="009A6443" w:rsidP="009A6443">
      <w:pPr>
        <w:pStyle w:val="Reference"/>
      </w:pPr>
      <w:bookmarkStart w:id="30" w:name="_Ref518383643"/>
      <w:r w:rsidRPr="00F66FC5">
        <w:t>Z. Al-</w:t>
      </w:r>
      <w:proofErr w:type="spellStart"/>
      <w:r w:rsidRPr="00F66FC5">
        <w:t>Husseiny</w:t>
      </w:r>
      <w:proofErr w:type="spellEnd"/>
      <w:r w:rsidRPr="00F66FC5">
        <w:t xml:space="preserve"> and P. Frenger, “Enhancing LTE Energy Performance with Antenna Muting and Dynamic Psi-Omni Configuration”, VTC-Spring-2015.</w:t>
      </w:r>
      <w:bookmarkEnd w:id="30"/>
    </w:p>
    <w:p w14:paraId="010ED85F" w14:textId="77777777" w:rsidR="009A6443" w:rsidRPr="00F66FC5" w:rsidRDefault="009A6443" w:rsidP="009A6443">
      <w:pPr>
        <w:pStyle w:val="Reference"/>
      </w:pPr>
      <w:bookmarkStart w:id="31" w:name="_Ref518388551"/>
      <w:r w:rsidRPr="00F66FC5">
        <w:t>P. Frenger and M. Ericson, “Assessment of alternatives for reducing energy consumptions in multi-RAT scenarios”, VTC-Spring-2014</w:t>
      </w:r>
      <w:bookmarkEnd w:id="31"/>
    </w:p>
    <w:p w14:paraId="4FA6C6CB" w14:textId="56D9B0A9" w:rsidR="00E77D9E" w:rsidRPr="00F66FC5" w:rsidRDefault="00E77D9E" w:rsidP="00E77D9E">
      <w:pPr>
        <w:pStyle w:val="Reference"/>
      </w:pPr>
      <w:bookmarkStart w:id="32" w:name="_Ref518389422"/>
      <w:r w:rsidRPr="00F66FC5">
        <w:t>P. Frenger, Y. Jading, and J. Turk, “A Case Study on Estimating Future Radio Network Energy Consumption and CO2 Emissions”, PIMRC 2013.</w:t>
      </w:r>
      <w:bookmarkEnd w:id="32"/>
    </w:p>
    <w:p w14:paraId="59DF3F95" w14:textId="0DF1AAB3" w:rsidR="00424881" w:rsidRPr="00424881" w:rsidRDefault="00424881" w:rsidP="00424881">
      <w:pPr>
        <w:pStyle w:val="Reference"/>
      </w:pPr>
      <w:bookmarkStart w:id="33" w:name="_Ref518387787"/>
      <w:r w:rsidRPr="00F66FC5">
        <w:rPr>
          <w:lang w:eastAsia="sv-SE"/>
        </w:rPr>
        <w:t>L. Falconetti, P. Frenger, H. Kallin</w:t>
      </w:r>
      <w:r w:rsidRPr="00F66FC5">
        <w:rPr>
          <w:rFonts w:cs="CMR8"/>
          <w:lang w:eastAsia="sv-SE"/>
        </w:rPr>
        <w:t xml:space="preserve"> </w:t>
      </w:r>
      <w:r w:rsidRPr="00F66FC5">
        <w:rPr>
          <w:lang w:eastAsia="sv-SE"/>
        </w:rPr>
        <w:t xml:space="preserve">and T. </w:t>
      </w:r>
      <w:proofErr w:type="spellStart"/>
      <w:r w:rsidRPr="00F66FC5">
        <w:rPr>
          <w:lang w:eastAsia="sv-SE"/>
        </w:rPr>
        <w:t>Rimhagen</w:t>
      </w:r>
      <w:proofErr w:type="spellEnd"/>
      <w:r w:rsidRPr="00F66FC5">
        <w:rPr>
          <w:lang w:eastAsia="sv-SE"/>
        </w:rPr>
        <w:t xml:space="preserve">, “Energy Efficiency in Heterogeneous Networks”, in Proc. </w:t>
      </w:r>
      <w:r w:rsidRPr="00424881">
        <w:rPr>
          <w:i/>
          <w:lang w:eastAsia="sv-SE"/>
        </w:rPr>
        <w:t xml:space="preserve">IEEE </w:t>
      </w:r>
      <w:proofErr w:type="spellStart"/>
      <w:r w:rsidRPr="00424881">
        <w:rPr>
          <w:i/>
          <w:lang w:eastAsia="sv-SE"/>
        </w:rPr>
        <w:t>GreenComm</w:t>
      </w:r>
      <w:proofErr w:type="spellEnd"/>
      <w:r w:rsidRPr="00424881">
        <w:rPr>
          <w:i/>
          <w:lang w:eastAsia="sv-SE"/>
        </w:rPr>
        <w:t xml:space="preserve"> Online Conference</w:t>
      </w:r>
      <w:r>
        <w:rPr>
          <w:lang w:eastAsia="sv-SE"/>
        </w:rPr>
        <w:t>,</w:t>
      </w:r>
      <w:r w:rsidRPr="00424881">
        <w:rPr>
          <w:lang w:eastAsia="sv-SE"/>
        </w:rPr>
        <w:t xml:space="preserve"> 2012.</w:t>
      </w:r>
      <w:bookmarkEnd w:id="33"/>
    </w:p>
    <w:p w14:paraId="58308B10" w14:textId="77777777" w:rsidR="009D451E" w:rsidRPr="00F9227F" w:rsidRDefault="009D451E" w:rsidP="009D451E">
      <w:pPr>
        <w:pStyle w:val="Reference"/>
      </w:pPr>
      <w:bookmarkStart w:id="34" w:name="_Ref518388324"/>
      <w:r w:rsidRPr="00F66FC5">
        <w:rPr>
          <w:lang w:eastAsia="sv-SE"/>
        </w:rPr>
        <w:t xml:space="preserve">J. Manssour, P. Frenger, L. Falconetti, S. Moon, and M. Na, “Smart Small Cell Wake-Up Field Trial: Enhancing End-user Throughput and Network Energy Performance”, in Proc. </w:t>
      </w:r>
      <w:r w:rsidRPr="00F9227F">
        <w:rPr>
          <w:lang w:eastAsia="sv-SE"/>
        </w:rPr>
        <w:t>IEEE VTC-Spring-2015.</w:t>
      </w:r>
      <w:bookmarkEnd w:id="34"/>
    </w:p>
    <w:p w14:paraId="785B191C" w14:textId="05728C63" w:rsidR="00424881" w:rsidRPr="00F66FC5" w:rsidRDefault="00F9227F" w:rsidP="00F9227F">
      <w:pPr>
        <w:pStyle w:val="Reference"/>
      </w:pPr>
      <w:bookmarkStart w:id="35" w:name="_Ref518390248"/>
      <w:r w:rsidRPr="00F66FC5">
        <w:t>P. Frenger, C. Friberg, Y. Jading, M. Olsson, and O. Persson, “Radio network energy performance: Shifting focus from power to precision,” Ericsson Review, February 2014.</w:t>
      </w:r>
      <w:bookmarkEnd w:id="35"/>
    </w:p>
    <w:p w14:paraId="605762E9" w14:textId="37F16B91" w:rsidR="00F9227F" w:rsidRPr="003A65B3" w:rsidRDefault="009818EE" w:rsidP="003A65B3">
      <w:pPr>
        <w:pStyle w:val="Reference"/>
      </w:pPr>
      <w:bookmarkStart w:id="36" w:name="_Ref518391997"/>
      <w:r w:rsidRPr="00F66FC5">
        <w:t>EARTH deliverable D2.1, “Economic and ecological impact of ICT”</w:t>
      </w:r>
      <w:r w:rsidR="00F9227F" w:rsidRPr="00F66FC5">
        <w:t>, 2010.</w:t>
      </w:r>
      <w:bookmarkEnd w:id="36"/>
    </w:p>
    <w:p w14:paraId="1AC0FC2C" w14:textId="4A3E0174" w:rsidR="002A40F8" w:rsidRPr="00F66FC5" w:rsidRDefault="002A40F8" w:rsidP="002A40F8">
      <w:pPr>
        <w:pStyle w:val="Reference"/>
        <w:numPr>
          <w:ilvl w:val="0"/>
          <w:numId w:val="0"/>
        </w:numPr>
        <w:ind w:left="567" w:hanging="567"/>
      </w:pPr>
    </w:p>
    <w:sectPr w:rsidR="002A40F8" w:rsidRPr="00F66FC5">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73066" w14:textId="77777777" w:rsidR="00317B18" w:rsidRDefault="00317B18">
      <w:r>
        <w:separator/>
      </w:r>
    </w:p>
  </w:endnote>
  <w:endnote w:type="continuationSeparator" w:id="0">
    <w:p w14:paraId="6DFFC950" w14:textId="77777777" w:rsidR="00317B18" w:rsidRDefault="0031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wift">
    <w:altName w:val="Swift"/>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MR8">
    <w:altName w:val="Calibri"/>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E1C37" w14:textId="77777777" w:rsidR="00317B18" w:rsidRDefault="00317B18">
      <w:r>
        <w:separator/>
      </w:r>
    </w:p>
  </w:footnote>
  <w:footnote w:type="continuationSeparator" w:id="0">
    <w:p w14:paraId="5CF3E750" w14:textId="77777777" w:rsidR="00317B18" w:rsidRDefault="0031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AC586C" w:rsidRDefault="00AC58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E5BE2"/>
    <w:multiLevelType w:val="multilevel"/>
    <w:tmpl w:val="4F70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743C0"/>
    <w:multiLevelType w:val="hybridMultilevel"/>
    <w:tmpl w:val="AC003000"/>
    <w:lvl w:ilvl="0" w:tplc="CB6099EE">
      <w:start w:val="1"/>
      <w:numFmt w:val="bullet"/>
      <w:lvlText w:val="—"/>
      <w:lvlJc w:val="left"/>
      <w:pPr>
        <w:tabs>
          <w:tab w:val="num" w:pos="720"/>
        </w:tabs>
        <w:ind w:left="720" w:hanging="360"/>
      </w:pPr>
      <w:rPr>
        <w:rFonts w:ascii="Ericsson Hilda Light" w:hAnsi="Ericsson Hilda Light" w:hint="default"/>
      </w:rPr>
    </w:lvl>
    <w:lvl w:ilvl="1" w:tplc="EAF8CB3C">
      <w:start w:val="59"/>
      <w:numFmt w:val="bullet"/>
      <w:lvlText w:val="—"/>
      <w:lvlJc w:val="left"/>
      <w:pPr>
        <w:tabs>
          <w:tab w:val="num" w:pos="1440"/>
        </w:tabs>
        <w:ind w:left="1440" w:hanging="360"/>
      </w:pPr>
      <w:rPr>
        <w:rFonts w:ascii="Ericsson Hilda Light" w:hAnsi="Ericsson Hilda Light" w:hint="default"/>
      </w:rPr>
    </w:lvl>
    <w:lvl w:ilvl="2" w:tplc="356E482C" w:tentative="1">
      <w:start w:val="1"/>
      <w:numFmt w:val="bullet"/>
      <w:lvlText w:val="—"/>
      <w:lvlJc w:val="left"/>
      <w:pPr>
        <w:tabs>
          <w:tab w:val="num" w:pos="2160"/>
        </w:tabs>
        <w:ind w:left="2160" w:hanging="360"/>
      </w:pPr>
      <w:rPr>
        <w:rFonts w:ascii="Ericsson Hilda Light" w:hAnsi="Ericsson Hilda Light" w:hint="default"/>
      </w:rPr>
    </w:lvl>
    <w:lvl w:ilvl="3" w:tplc="25D00628" w:tentative="1">
      <w:start w:val="1"/>
      <w:numFmt w:val="bullet"/>
      <w:lvlText w:val="—"/>
      <w:lvlJc w:val="left"/>
      <w:pPr>
        <w:tabs>
          <w:tab w:val="num" w:pos="2880"/>
        </w:tabs>
        <w:ind w:left="2880" w:hanging="360"/>
      </w:pPr>
      <w:rPr>
        <w:rFonts w:ascii="Ericsson Hilda Light" w:hAnsi="Ericsson Hilda Light" w:hint="default"/>
      </w:rPr>
    </w:lvl>
    <w:lvl w:ilvl="4" w:tplc="90966D72" w:tentative="1">
      <w:start w:val="1"/>
      <w:numFmt w:val="bullet"/>
      <w:lvlText w:val="—"/>
      <w:lvlJc w:val="left"/>
      <w:pPr>
        <w:tabs>
          <w:tab w:val="num" w:pos="3600"/>
        </w:tabs>
        <w:ind w:left="3600" w:hanging="360"/>
      </w:pPr>
      <w:rPr>
        <w:rFonts w:ascii="Ericsson Hilda Light" w:hAnsi="Ericsson Hilda Light" w:hint="default"/>
      </w:rPr>
    </w:lvl>
    <w:lvl w:ilvl="5" w:tplc="267829FE" w:tentative="1">
      <w:start w:val="1"/>
      <w:numFmt w:val="bullet"/>
      <w:lvlText w:val="—"/>
      <w:lvlJc w:val="left"/>
      <w:pPr>
        <w:tabs>
          <w:tab w:val="num" w:pos="4320"/>
        </w:tabs>
        <w:ind w:left="4320" w:hanging="360"/>
      </w:pPr>
      <w:rPr>
        <w:rFonts w:ascii="Ericsson Hilda Light" w:hAnsi="Ericsson Hilda Light" w:hint="default"/>
      </w:rPr>
    </w:lvl>
    <w:lvl w:ilvl="6" w:tplc="397C93D8" w:tentative="1">
      <w:start w:val="1"/>
      <w:numFmt w:val="bullet"/>
      <w:lvlText w:val="—"/>
      <w:lvlJc w:val="left"/>
      <w:pPr>
        <w:tabs>
          <w:tab w:val="num" w:pos="5040"/>
        </w:tabs>
        <w:ind w:left="5040" w:hanging="360"/>
      </w:pPr>
      <w:rPr>
        <w:rFonts w:ascii="Ericsson Hilda Light" w:hAnsi="Ericsson Hilda Light" w:hint="default"/>
      </w:rPr>
    </w:lvl>
    <w:lvl w:ilvl="7" w:tplc="5394BCA4" w:tentative="1">
      <w:start w:val="1"/>
      <w:numFmt w:val="bullet"/>
      <w:lvlText w:val="—"/>
      <w:lvlJc w:val="left"/>
      <w:pPr>
        <w:tabs>
          <w:tab w:val="num" w:pos="5760"/>
        </w:tabs>
        <w:ind w:left="5760" w:hanging="360"/>
      </w:pPr>
      <w:rPr>
        <w:rFonts w:ascii="Ericsson Hilda Light" w:hAnsi="Ericsson Hilda Light" w:hint="default"/>
      </w:rPr>
    </w:lvl>
    <w:lvl w:ilvl="8" w:tplc="64C41104"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5"/>
  </w:num>
  <w:num w:numId="16">
    <w:abstractNumId w:val="20"/>
  </w:num>
  <w:num w:numId="17">
    <w:abstractNumId w:val="13"/>
  </w:num>
  <w:num w:numId="18">
    <w:abstractNumId w:val="12"/>
  </w:num>
  <w:num w:numId="19">
    <w:abstractNumId w:val="17"/>
  </w:num>
  <w:num w:numId="20">
    <w:abstractNumId w:val="6"/>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696"/>
    <w:rsid w:val="00006446"/>
    <w:rsid w:val="00006896"/>
    <w:rsid w:val="00007CDC"/>
    <w:rsid w:val="00010F6E"/>
    <w:rsid w:val="00011B28"/>
    <w:rsid w:val="00015D15"/>
    <w:rsid w:val="00016EF8"/>
    <w:rsid w:val="00021D9B"/>
    <w:rsid w:val="000234D4"/>
    <w:rsid w:val="00023E8E"/>
    <w:rsid w:val="0002434D"/>
    <w:rsid w:val="0002564D"/>
    <w:rsid w:val="00025AF2"/>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5037"/>
    <w:rsid w:val="0005606A"/>
    <w:rsid w:val="00057117"/>
    <w:rsid w:val="000615C3"/>
    <w:rsid w:val="000616E7"/>
    <w:rsid w:val="0006487E"/>
    <w:rsid w:val="00065E1A"/>
    <w:rsid w:val="00073E5D"/>
    <w:rsid w:val="00075EC9"/>
    <w:rsid w:val="00077E5F"/>
    <w:rsid w:val="0008036A"/>
    <w:rsid w:val="000806D8"/>
    <w:rsid w:val="00081AE6"/>
    <w:rsid w:val="000855EB"/>
    <w:rsid w:val="00085B52"/>
    <w:rsid w:val="000866F2"/>
    <w:rsid w:val="0009009F"/>
    <w:rsid w:val="0009018F"/>
    <w:rsid w:val="00091557"/>
    <w:rsid w:val="000924C1"/>
    <w:rsid w:val="000924F0"/>
    <w:rsid w:val="00093474"/>
    <w:rsid w:val="00094438"/>
    <w:rsid w:val="0009510F"/>
    <w:rsid w:val="000A1B7B"/>
    <w:rsid w:val="000A2B54"/>
    <w:rsid w:val="000A56F2"/>
    <w:rsid w:val="000B2719"/>
    <w:rsid w:val="000B3A8F"/>
    <w:rsid w:val="000B4AB9"/>
    <w:rsid w:val="000B58C3"/>
    <w:rsid w:val="000B61E9"/>
    <w:rsid w:val="000C165A"/>
    <w:rsid w:val="000C2E19"/>
    <w:rsid w:val="000C4A40"/>
    <w:rsid w:val="000D0D07"/>
    <w:rsid w:val="000D3D79"/>
    <w:rsid w:val="000D4797"/>
    <w:rsid w:val="000D4B05"/>
    <w:rsid w:val="000E0527"/>
    <w:rsid w:val="000E1E92"/>
    <w:rsid w:val="000F06D6"/>
    <w:rsid w:val="000F0EB1"/>
    <w:rsid w:val="000F1106"/>
    <w:rsid w:val="000F18E8"/>
    <w:rsid w:val="000F3BE9"/>
    <w:rsid w:val="000F3F6C"/>
    <w:rsid w:val="000F6DF3"/>
    <w:rsid w:val="001005FF"/>
    <w:rsid w:val="00101822"/>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46E45"/>
    <w:rsid w:val="00151E23"/>
    <w:rsid w:val="001526E0"/>
    <w:rsid w:val="00154A29"/>
    <w:rsid w:val="001551B5"/>
    <w:rsid w:val="001620A1"/>
    <w:rsid w:val="001659C1"/>
    <w:rsid w:val="00173A8E"/>
    <w:rsid w:val="001769ED"/>
    <w:rsid w:val="00177795"/>
    <w:rsid w:val="0018143F"/>
    <w:rsid w:val="00187AD4"/>
    <w:rsid w:val="00190AC1"/>
    <w:rsid w:val="0019341A"/>
    <w:rsid w:val="00194AA8"/>
    <w:rsid w:val="00194AC2"/>
    <w:rsid w:val="00197DF9"/>
    <w:rsid w:val="001A1987"/>
    <w:rsid w:val="001A2564"/>
    <w:rsid w:val="001A6173"/>
    <w:rsid w:val="001A6CBA"/>
    <w:rsid w:val="001B0D97"/>
    <w:rsid w:val="001B5A5D"/>
    <w:rsid w:val="001B6734"/>
    <w:rsid w:val="001B7AE9"/>
    <w:rsid w:val="001C0A40"/>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28DC"/>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7393A"/>
    <w:rsid w:val="002803BA"/>
    <w:rsid w:val="002805F5"/>
    <w:rsid w:val="00280751"/>
    <w:rsid w:val="0028280A"/>
    <w:rsid w:val="00283234"/>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0F8"/>
    <w:rsid w:val="002A4C48"/>
    <w:rsid w:val="002A6104"/>
    <w:rsid w:val="002B24D6"/>
    <w:rsid w:val="002B6D68"/>
    <w:rsid w:val="002C0FFB"/>
    <w:rsid w:val="002C19C7"/>
    <w:rsid w:val="002C41E6"/>
    <w:rsid w:val="002C4F55"/>
    <w:rsid w:val="002C5931"/>
    <w:rsid w:val="002D071A"/>
    <w:rsid w:val="002D34B2"/>
    <w:rsid w:val="002D7596"/>
    <w:rsid w:val="002D7637"/>
    <w:rsid w:val="002E17F2"/>
    <w:rsid w:val="002E45C3"/>
    <w:rsid w:val="002E4FF7"/>
    <w:rsid w:val="002E5CC0"/>
    <w:rsid w:val="002E7CAE"/>
    <w:rsid w:val="002F04E4"/>
    <w:rsid w:val="002F16D0"/>
    <w:rsid w:val="002F2771"/>
    <w:rsid w:val="002F37A9"/>
    <w:rsid w:val="002F5E55"/>
    <w:rsid w:val="002F63AC"/>
    <w:rsid w:val="0030114B"/>
    <w:rsid w:val="00301CE6"/>
    <w:rsid w:val="0030256B"/>
    <w:rsid w:val="0030501F"/>
    <w:rsid w:val="00305B2D"/>
    <w:rsid w:val="00307BA1"/>
    <w:rsid w:val="00310018"/>
    <w:rsid w:val="00311702"/>
    <w:rsid w:val="00311E82"/>
    <w:rsid w:val="00313D55"/>
    <w:rsid w:val="00313FD6"/>
    <w:rsid w:val="003143BD"/>
    <w:rsid w:val="00317B18"/>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5B3"/>
    <w:rsid w:val="003A6BAC"/>
    <w:rsid w:val="003A7A2F"/>
    <w:rsid w:val="003A7AC5"/>
    <w:rsid w:val="003A7EF3"/>
    <w:rsid w:val="003B159C"/>
    <w:rsid w:val="003B369F"/>
    <w:rsid w:val="003B36A3"/>
    <w:rsid w:val="003B7FE5"/>
    <w:rsid w:val="003C11C8"/>
    <w:rsid w:val="003C1789"/>
    <w:rsid w:val="003C2702"/>
    <w:rsid w:val="003C2DEE"/>
    <w:rsid w:val="003C7806"/>
    <w:rsid w:val="003D0932"/>
    <w:rsid w:val="003D109F"/>
    <w:rsid w:val="003D2478"/>
    <w:rsid w:val="003D3C45"/>
    <w:rsid w:val="003D5B1F"/>
    <w:rsid w:val="003D6A9F"/>
    <w:rsid w:val="003D6DB5"/>
    <w:rsid w:val="003E15FA"/>
    <w:rsid w:val="003E46EF"/>
    <w:rsid w:val="003E55E4"/>
    <w:rsid w:val="003E74E3"/>
    <w:rsid w:val="003E784D"/>
    <w:rsid w:val="003F05C7"/>
    <w:rsid w:val="003F2018"/>
    <w:rsid w:val="003F2CD4"/>
    <w:rsid w:val="003F6BBE"/>
    <w:rsid w:val="004000E8"/>
    <w:rsid w:val="00402E2B"/>
    <w:rsid w:val="004043C9"/>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4881"/>
    <w:rsid w:val="00427248"/>
    <w:rsid w:val="004275C5"/>
    <w:rsid w:val="004337AC"/>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AAA"/>
    <w:rsid w:val="00492BC5"/>
    <w:rsid w:val="004964F1"/>
    <w:rsid w:val="004A16BC"/>
    <w:rsid w:val="004A2B94"/>
    <w:rsid w:val="004A6166"/>
    <w:rsid w:val="004B0D1C"/>
    <w:rsid w:val="004B562D"/>
    <w:rsid w:val="004B5710"/>
    <w:rsid w:val="004B7C0C"/>
    <w:rsid w:val="004C3898"/>
    <w:rsid w:val="004C47DF"/>
    <w:rsid w:val="004C6E2C"/>
    <w:rsid w:val="004D0BEA"/>
    <w:rsid w:val="004D2A39"/>
    <w:rsid w:val="004D36B1"/>
    <w:rsid w:val="004D47D5"/>
    <w:rsid w:val="004D7EBD"/>
    <w:rsid w:val="004E1014"/>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5F65"/>
    <w:rsid w:val="00536759"/>
    <w:rsid w:val="00537C62"/>
    <w:rsid w:val="005444B3"/>
    <w:rsid w:val="005453CD"/>
    <w:rsid w:val="00546970"/>
    <w:rsid w:val="00547F65"/>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2686"/>
    <w:rsid w:val="005A662D"/>
    <w:rsid w:val="005B22DB"/>
    <w:rsid w:val="005B35D7"/>
    <w:rsid w:val="005B392A"/>
    <w:rsid w:val="005B3AA3"/>
    <w:rsid w:val="005B6900"/>
    <w:rsid w:val="005B6F83"/>
    <w:rsid w:val="005B796E"/>
    <w:rsid w:val="005C23F1"/>
    <w:rsid w:val="005C3698"/>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2244"/>
    <w:rsid w:val="006234A6"/>
    <w:rsid w:val="006236BC"/>
    <w:rsid w:val="00630001"/>
    <w:rsid w:val="006304E4"/>
    <w:rsid w:val="006311B3"/>
    <w:rsid w:val="0063284C"/>
    <w:rsid w:val="00636398"/>
    <w:rsid w:val="006368D3"/>
    <w:rsid w:val="0063772D"/>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43E7"/>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15D1"/>
    <w:rsid w:val="00712287"/>
    <w:rsid w:val="00712772"/>
    <w:rsid w:val="007148D3"/>
    <w:rsid w:val="007156EF"/>
    <w:rsid w:val="00715B9A"/>
    <w:rsid w:val="00717370"/>
    <w:rsid w:val="007177FF"/>
    <w:rsid w:val="00720067"/>
    <w:rsid w:val="007261A0"/>
    <w:rsid w:val="00726EA6"/>
    <w:rsid w:val="00727208"/>
    <w:rsid w:val="00727680"/>
    <w:rsid w:val="0073137D"/>
    <w:rsid w:val="007348B1"/>
    <w:rsid w:val="007362A6"/>
    <w:rsid w:val="00736D7D"/>
    <w:rsid w:val="0073747A"/>
    <w:rsid w:val="00740E58"/>
    <w:rsid w:val="007445A0"/>
    <w:rsid w:val="0074524B"/>
    <w:rsid w:val="00747D8B"/>
    <w:rsid w:val="00751052"/>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974C8"/>
    <w:rsid w:val="007A1CB3"/>
    <w:rsid w:val="007A306F"/>
    <w:rsid w:val="007A43A6"/>
    <w:rsid w:val="007A52A4"/>
    <w:rsid w:val="007A58A6"/>
    <w:rsid w:val="007B3D2D"/>
    <w:rsid w:val="007B50AE"/>
    <w:rsid w:val="007B51DF"/>
    <w:rsid w:val="007C05DD"/>
    <w:rsid w:val="007C0DED"/>
    <w:rsid w:val="007C3D18"/>
    <w:rsid w:val="007C44E3"/>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0EF8"/>
    <w:rsid w:val="00800FAB"/>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57FA0"/>
    <w:rsid w:val="00861C7F"/>
    <w:rsid w:val="008677FD"/>
    <w:rsid w:val="00870038"/>
    <w:rsid w:val="008706D4"/>
    <w:rsid w:val="00870F8A"/>
    <w:rsid w:val="008719A4"/>
    <w:rsid w:val="00871D23"/>
    <w:rsid w:val="00873A38"/>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55F1"/>
    <w:rsid w:val="008D6D1A"/>
    <w:rsid w:val="008E065E"/>
    <w:rsid w:val="008E0927"/>
    <w:rsid w:val="008E1909"/>
    <w:rsid w:val="008F1EAB"/>
    <w:rsid w:val="008F33DC"/>
    <w:rsid w:val="008F4585"/>
    <w:rsid w:val="008F477F"/>
    <w:rsid w:val="008F7256"/>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18EE"/>
    <w:rsid w:val="00985253"/>
    <w:rsid w:val="009853B3"/>
    <w:rsid w:val="009904E4"/>
    <w:rsid w:val="00990630"/>
    <w:rsid w:val="00991761"/>
    <w:rsid w:val="00994DCA"/>
    <w:rsid w:val="009960EC"/>
    <w:rsid w:val="009970DD"/>
    <w:rsid w:val="009A0FBA"/>
    <w:rsid w:val="009A1601"/>
    <w:rsid w:val="009A40CE"/>
    <w:rsid w:val="009A462D"/>
    <w:rsid w:val="009A5CBA"/>
    <w:rsid w:val="009A6443"/>
    <w:rsid w:val="009B1F30"/>
    <w:rsid w:val="009B3AC2"/>
    <w:rsid w:val="009B4DF4"/>
    <w:rsid w:val="009B564E"/>
    <w:rsid w:val="009B7E87"/>
    <w:rsid w:val="009C0BAD"/>
    <w:rsid w:val="009C1D18"/>
    <w:rsid w:val="009C403E"/>
    <w:rsid w:val="009D451E"/>
    <w:rsid w:val="009D4FF0"/>
    <w:rsid w:val="009D703C"/>
    <w:rsid w:val="009D718F"/>
    <w:rsid w:val="009E068F"/>
    <w:rsid w:val="009E14E0"/>
    <w:rsid w:val="009E2547"/>
    <w:rsid w:val="009E35DB"/>
    <w:rsid w:val="009E47A3"/>
    <w:rsid w:val="009F08F3"/>
    <w:rsid w:val="009F344F"/>
    <w:rsid w:val="009F3A38"/>
    <w:rsid w:val="009F5777"/>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3B36"/>
    <w:rsid w:val="00A454DC"/>
    <w:rsid w:val="00A45B74"/>
    <w:rsid w:val="00A51063"/>
    <w:rsid w:val="00A52E1D"/>
    <w:rsid w:val="00A53873"/>
    <w:rsid w:val="00A53EA2"/>
    <w:rsid w:val="00A61158"/>
    <w:rsid w:val="00A61499"/>
    <w:rsid w:val="00A62A77"/>
    <w:rsid w:val="00A6305A"/>
    <w:rsid w:val="00A63483"/>
    <w:rsid w:val="00A657D7"/>
    <w:rsid w:val="00A660AC"/>
    <w:rsid w:val="00A67D41"/>
    <w:rsid w:val="00A67E6C"/>
    <w:rsid w:val="00A71B99"/>
    <w:rsid w:val="00A739D0"/>
    <w:rsid w:val="00A761D4"/>
    <w:rsid w:val="00A77EC4"/>
    <w:rsid w:val="00A82F78"/>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3994"/>
    <w:rsid w:val="00AC49FB"/>
    <w:rsid w:val="00AC586C"/>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2F17"/>
    <w:rsid w:val="00B93B59"/>
    <w:rsid w:val="00B9406A"/>
    <w:rsid w:val="00BA2280"/>
    <w:rsid w:val="00BA2A08"/>
    <w:rsid w:val="00BA3521"/>
    <w:rsid w:val="00BA35BC"/>
    <w:rsid w:val="00BA56D2"/>
    <w:rsid w:val="00BA59D8"/>
    <w:rsid w:val="00BA76E0"/>
    <w:rsid w:val="00BA7F5D"/>
    <w:rsid w:val="00BB2A25"/>
    <w:rsid w:val="00BB51E9"/>
    <w:rsid w:val="00BB616E"/>
    <w:rsid w:val="00BC0FDC"/>
    <w:rsid w:val="00BC2406"/>
    <w:rsid w:val="00BC3053"/>
    <w:rsid w:val="00BC3C5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04A4"/>
    <w:rsid w:val="00C12107"/>
    <w:rsid w:val="00C13283"/>
    <w:rsid w:val="00C1338F"/>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A5D"/>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1B16"/>
    <w:rsid w:val="00D239A7"/>
    <w:rsid w:val="00D23F47"/>
    <w:rsid w:val="00D245D1"/>
    <w:rsid w:val="00D25333"/>
    <w:rsid w:val="00D31703"/>
    <w:rsid w:val="00D36E71"/>
    <w:rsid w:val="00D37D87"/>
    <w:rsid w:val="00D40B33"/>
    <w:rsid w:val="00D4318F"/>
    <w:rsid w:val="00D438BF"/>
    <w:rsid w:val="00D440F8"/>
    <w:rsid w:val="00D44359"/>
    <w:rsid w:val="00D50F97"/>
    <w:rsid w:val="00D546FF"/>
    <w:rsid w:val="00D55AD5"/>
    <w:rsid w:val="00D5700E"/>
    <w:rsid w:val="00D576CA"/>
    <w:rsid w:val="00D61AF5"/>
    <w:rsid w:val="00D652B5"/>
    <w:rsid w:val="00D66155"/>
    <w:rsid w:val="00D663D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4301"/>
    <w:rsid w:val="00DC53EF"/>
    <w:rsid w:val="00DD01D1"/>
    <w:rsid w:val="00DE0E55"/>
    <w:rsid w:val="00DE2567"/>
    <w:rsid w:val="00DE3F98"/>
    <w:rsid w:val="00DE5608"/>
    <w:rsid w:val="00DE58D0"/>
    <w:rsid w:val="00DE654F"/>
    <w:rsid w:val="00DF0B6E"/>
    <w:rsid w:val="00DF15E0"/>
    <w:rsid w:val="00DF2812"/>
    <w:rsid w:val="00DF37A0"/>
    <w:rsid w:val="00DF62F7"/>
    <w:rsid w:val="00E02E1F"/>
    <w:rsid w:val="00E06AF6"/>
    <w:rsid w:val="00E110E7"/>
    <w:rsid w:val="00E11B20"/>
    <w:rsid w:val="00E11E58"/>
    <w:rsid w:val="00E17FA2"/>
    <w:rsid w:val="00E22330"/>
    <w:rsid w:val="00E27CC7"/>
    <w:rsid w:val="00E305D6"/>
    <w:rsid w:val="00E30B5A"/>
    <w:rsid w:val="00E3123D"/>
    <w:rsid w:val="00E31461"/>
    <w:rsid w:val="00E31D43"/>
    <w:rsid w:val="00E32608"/>
    <w:rsid w:val="00E34188"/>
    <w:rsid w:val="00E34B6E"/>
    <w:rsid w:val="00E35559"/>
    <w:rsid w:val="00E3723A"/>
    <w:rsid w:val="00E37860"/>
    <w:rsid w:val="00E42508"/>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77D9E"/>
    <w:rsid w:val="00E8226B"/>
    <w:rsid w:val="00E8234C"/>
    <w:rsid w:val="00E82475"/>
    <w:rsid w:val="00E8330B"/>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D7E7B"/>
    <w:rsid w:val="00EE4B0B"/>
    <w:rsid w:val="00EF18FE"/>
    <w:rsid w:val="00EF3D45"/>
    <w:rsid w:val="00EF5787"/>
    <w:rsid w:val="00EF60D0"/>
    <w:rsid w:val="00EF65EA"/>
    <w:rsid w:val="00F0528D"/>
    <w:rsid w:val="00F0546C"/>
    <w:rsid w:val="00F06C67"/>
    <w:rsid w:val="00F06DFD"/>
    <w:rsid w:val="00F071D1"/>
    <w:rsid w:val="00F07533"/>
    <w:rsid w:val="00F10629"/>
    <w:rsid w:val="00F10917"/>
    <w:rsid w:val="00F15FA5"/>
    <w:rsid w:val="00F17C14"/>
    <w:rsid w:val="00F209B7"/>
    <w:rsid w:val="00F21D08"/>
    <w:rsid w:val="00F2376F"/>
    <w:rsid w:val="00F242EF"/>
    <w:rsid w:val="00F243D8"/>
    <w:rsid w:val="00F24C5E"/>
    <w:rsid w:val="00F30828"/>
    <w:rsid w:val="00F313D6"/>
    <w:rsid w:val="00F338B9"/>
    <w:rsid w:val="00F36E7B"/>
    <w:rsid w:val="00F40F0C"/>
    <w:rsid w:val="00F4766C"/>
    <w:rsid w:val="00F47DA9"/>
    <w:rsid w:val="00F507D1"/>
    <w:rsid w:val="00F519CE"/>
    <w:rsid w:val="00F51ADA"/>
    <w:rsid w:val="00F607C5"/>
    <w:rsid w:val="00F60DEA"/>
    <w:rsid w:val="00F63029"/>
    <w:rsid w:val="00F6302A"/>
    <w:rsid w:val="00F64C2B"/>
    <w:rsid w:val="00F651BE"/>
    <w:rsid w:val="00F66FC5"/>
    <w:rsid w:val="00F67F53"/>
    <w:rsid w:val="00F703BE"/>
    <w:rsid w:val="00F71F69"/>
    <w:rsid w:val="00F72B72"/>
    <w:rsid w:val="00F74BB9"/>
    <w:rsid w:val="00F75582"/>
    <w:rsid w:val="00F76EFA"/>
    <w:rsid w:val="00F804BE"/>
    <w:rsid w:val="00F817CE"/>
    <w:rsid w:val="00F8456C"/>
    <w:rsid w:val="00F85240"/>
    <w:rsid w:val="00F859D8"/>
    <w:rsid w:val="00F868F5"/>
    <w:rsid w:val="00F9056A"/>
    <w:rsid w:val="00F90F8D"/>
    <w:rsid w:val="00F9227F"/>
    <w:rsid w:val="00F92782"/>
    <w:rsid w:val="00F93AA9"/>
    <w:rsid w:val="00F93D34"/>
    <w:rsid w:val="00F953FF"/>
    <w:rsid w:val="00F96985"/>
    <w:rsid w:val="00F97838"/>
    <w:rsid w:val="00FA034C"/>
    <w:rsid w:val="00FA2BB3"/>
    <w:rsid w:val="00FA673A"/>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2F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F62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2F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 w:type="paragraph" w:styleId="Title">
    <w:name w:val="Title"/>
    <w:basedOn w:val="Normal"/>
    <w:next w:val="Normal"/>
    <w:link w:val="TitleChar"/>
    <w:qFormat/>
    <w:rsid w:val="009F5777"/>
    <w:pPr>
      <w:framePr w:w="9360" w:hSpace="187" w:vSpace="187" w:wrap="notBeside" w:vAnchor="text" w:hAnchor="page" w:xAlign="center" w:y="1"/>
      <w:spacing w:after="0" w:line="240" w:lineRule="auto"/>
      <w:jc w:val="center"/>
    </w:pPr>
    <w:rPr>
      <w:rFonts w:ascii="Times New Roman" w:eastAsia="SimSun" w:hAnsi="Times New Roman" w:cs="Times New Roman"/>
      <w:kern w:val="28"/>
      <w:sz w:val="48"/>
      <w:szCs w:val="48"/>
    </w:rPr>
  </w:style>
  <w:style w:type="character" w:customStyle="1" w:styleId="TitleChar">
    <w:name w:val="Title Char"/>
    <w:basedOn w:val="DefaultParagraphFont"/>
    <w:link w:val="Title"/>
    <w:rsid w:val="009F5777"/>
    <w:rPr>
      <w:rFonts w:ascii="Times New Roman" w:eastAsia="SimSun" w:hAnsi="Times New Roman"/>
      <w:kern w:val="28"/>
      <w:sz w:val="48"/>
      <w:szCs w:val="48"/>
      <w:lang w:val="en-US" w:eastAsia="en-US"/>
    </w:rPr>
  </w:style>
  <w:style w:type="character" w:styleId="UnresolvedMention">
    <w:name w:val="Unresolved Mention"/>
    <w:basedOn w:val="DefaultParagraphFont"/>
    <w:uiPriority w:val="99"/>
    <w:semiHidden/>
    <w:unhideWhenUsed/>
    <w:rsid w:val="001B7AE9"/>
    <w:rPr>
      <w:color w:val="808080"/>
      <w:shd w:val="clear" w:color="auto" w:fill="E6E6E6"/>
    </w:rPr>
  </w:style>
  <w:style w:type="paragraph" w:customStyle="1" w:styleId="IEEEAbtract">
    <w:name w:val="IEEE Abtract"/>
    <w:basedOn w:val="Normal"/>
    <w:next w:val="Normal"/>
    <w:rsid w:val="0027393A"/>
    <w:pPr>
      <w:adjustRightInd w:val="0"/>
      <w:snapToGrid w:val="0"/>
      <w:spacing w:after="0" w:line="240" w:lineRule="auto"/>
      <w:ind w:firstLine="216"/>
      <w:jc w:val="both"/>
    </w:pPr>
    <w:rPr>
      <w:rFonts w:ascii="Times New Roman" w:eastAsia="SimSun" w:hAnsi="Times New Roman" w:cs="Times New Roman"/>
      <w:b/>
      <w:sz w:val="18"/>
      <w:szCs w:val="24"/>
      <w:lang w:val="en-GB" w:eastAsia="en-GB"/>
    </w:rPr>
  </w:style>
  <w:style w:type="paragraph" w:customStyle="1" w:styleId="Pa6">
    <w:name w:val="Pa6"/>
    <w:basedOn w:val="Default"/>
    <w:next w:val="Default"/>
    <w:uiPriority w:val="99"/>
    <w:rsid w:val="00547F65"/>
    <w:pPr>
      <w:spacing w:line="173" w:lineRule="atLeast"/>
    </w:pPr>
    <w:rPr>
      <w:rFonts w:ascii="Swift" w:hAnsi="Swift"/>
      <w:color w:val="auto"/>
    </w:rPr>
  </w:style>
  <w:style w:type="paragraph" w:customStyle="1" w:styleId="Pa4">
    <w:name w:val="Pa4"/>
    <w:basedOn w:val="Default"/>
    <w:next w:val="Default"/>
    <w:uiPriority w:val="99"/>
    <w:rsid w:val="00547F65"/>
    <w:pPr>
      <w:spacing w:line="173" w:lineRule="atLeast"/>
    </w:pPr>
    <w:rPr>
      <w:rFonts w:ascii="Swift" w:hAnsi="Swif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50253">
      <w:bodyDiv w:val="1"/>
      <w:marLeft w:val="0"/>
      <w:marRight w:val="0"/>
      <w:marTop w:val="0"/>
      <w:marBottom w:val="0"/>
      <w:divBdr>
        <w:top w:val="none" w:sz="0" w:space="0" w:color="auto"/>
        <w:left w:val="none" w:sz="0" w:space="0" w:color="auto"/>
        <w:bottom w:val="none" w:sz="0" w:space="0" w:color="auto"/>
        <w:right w:val="none" w:sz="0" w:space="0" w:color="auto"/>
      </w:divBdr>
      <w:divsChild>
        <w:div w:id="1372681315">
          <w:marLeft w:val="547"/>
          <w:marRight w:val="0"/>
          <w:marTop w:val="60"/>
          <w:marBottom w:val="0"/>
          <w:divBdr>
            <w:top w:val="none" w:sz="0" w:space="0" w:color="auto"/>
            <w:left w:val="none" w:sz="0" w:space="0" w:color="auto"/>
            <w:bottom w:val="none" w:sz="0" w:space="0" w:color="auto"/>
            <w:right w:val="none" w:sz="0" w:space="0" w:color="auto"/>
          </w:divBdr>
        </w:div>
        <w:div w:id="2118257108">
          <w:marLeft w:val="1123"/>
          <w:marRight w:val="0"/>
          <w:marTop w:val="60"/>
          <w:marBottom w:val="0"/>
          <w:divBdr>
            <w:top w:val="none" w:sz="0" w:space="0" w:color="auto"/>
            <w:left w:val="none" w:sz="0" w:space="0" w:color="auto"/>
            <w:bottom w:val="none" w:sz="0" w:space="0" w:color="auto"/>
            <w:right w:val="none" w:sz="0" w:space="0" w:color="auto"/>
          </w:divBdr>
        </w:div>
        <w:div w:id="496650658">
          <w:marLeft w:val="1123"/>
          <w:marRight w:val="0"/>
          <w:marTop w:val="60"/>
          <w:marBottom w:val="0"/>
          <w:divBdr>
            <w:top w:val="none" w:sz="0" w:space="0" w:color="auto"/>
            <w:left w:val="none" w:sz="0" w:space="0" w:color="auto"/>
            <w:bottom w:val="none" w:sz="0" w:space="0" w:color="auto"/>
            <w:right w:val="none" w:sz="0" w:space="0" w:color="auto"/>
          </w:divBdr>
        </w:div>
        <w:div w:id="476998815">
          <w:marLeft w:val="1123"/>
          <w:marRight w:val="0"/>
          <w:marTop w:val="60"/>
          <w:marBottom w:val="0"/>
          <w:divBdr>
            <w:top w:val="none" w:sz="0" w:space="0" w:color="auto"/>
            <w:left w:val="none" w:sz="0" w:space="0" w:color="auto"/>
            <w:bottom w:val="none" w:sz="0" w:space="0" w:color="auto"/>
            <w:right w:val="none" w:sz="0" w:space="0" w:color="auto"/>
          </w:divBdr>
        </w:div>
        <w:div w:id="751582800">
          <w:marLeft w:val="1123"/>
          <w:marRight w:val="0"/>
          <w:marTop w:val="60"/>
          <w:marBottom w:val="0"/>
          <w:divBdr>
            <w:top w:val="none" w:sz="0" w:space="0" w:color="auto"/>
            <w:left w:val="none" w:sz="0" w:space="0" w:color="auto"/>
            <w:bottom w:val="none" w:sz="0" w:space="0" w:color="auto"/>
            <w:right w:val="none" w:sz="0" w:space="0" w:color="auto"/>
          </w:divBdr>
        </w:div>
        <w:div w:id="854149144">
          <w:marLeft w:val="1123"/>
          <w:marRight w:val="0"/>
          <w:marTop w:val="60"/>
          <w:marBottom w:val="0"/>
          <w:divBdr>
            <w:top w:val="none" w:sz="0" w:space="0" w:color="auto"/>
            <w:left w:val="none" w:sz="0" w:space="0" w:color="auto"/>
            <w:bottom w:val="none" w:sz="0" w:space="0" w:color="auto"/>
            <w:right w:val="none" w:sz="0" w:space="0" w:color="auto"/>
          </w:divBdr>
        </w:div>
        <w:div w:id="127630515">
          <w:marLeft w:val="1123"/>
          <w:marRight w:val="0"/>
          <w:marTop w:val="60"/>
          <w:marBottom w:val="0"/>
          <w:divBdr>
            <w:top w:val="none" w:sz="0" w:space="0" w:color="auto"/>
            <w:left w:val="none" w:sz="0" w:space="0" w:color="auto"/>
            <w:bottom w:val="none" w:sz="0" w:space="0" w:color="auto"/>
            <w:right w:val="none" w:sz="0" w:space="0" w:color="auto"/>
          </w:divBdr>
        </w:div>
      </w:divsChild>
    </w:div>
    <w:div w:id="238563470">
      <w:bodyDiv w:val="1"/>
      <w:marLeft w:val="0"/>
      <w:marRight w:val="0"/>
      <w:marTop w:val="0"/>
      <w:marBottom w:val="0"/>
      <w:divBdr>
        <w:top w:val="none" w:sz="0" w:space="0" w:color="auto"/>
        <w:left w:val="none" w:sz="0" w:space="0" w:color="auto"/>
        <w:bottom w:val="none" w:sz="0" w:space="0" w:color="auto"/>
        <w:right w:val="none" w:sz="0" w:space="0" w:color="auto"/>
      </w:divBdr>
    </w:div>
    <w:div w:id="759301683">
      <w:bodyDiv w:val="1"/>
      <w:marLeft w:val="0"/>
      <w:marRight w:val="0"/>
      <w:marTop w:val="0"/>
      <w:marBottom w:val="0"/>
      <w:divBdr>
        <w:top w:val="none" w:sz="0" w:space="0" w:color="auto"/>
        <w:left w:val="none" w:sz="0" w:space="0" w:color="auto"/>
        <w:bottom w:val="none" w:sz="0" w:space="0" w:color="auto"/>
        <w:right w:val="none" w:sz="0" w:space="0" w:color="auto"/>
      </w:divBdr>
    </w:div>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192494608">
      <w:bodyDiv w:val="1"/>
      <w:marLeft w:val="0"/>
      <w:marRight w:val="0"/>
      <w:marTop w:val="0"/>
      <w:marBottom w:val="0"/>
      <w:divBdr>
        <w:top w:val="none" w:sz="0" w:space="0" w:color="auto"/>
        <w:left w:val="none" w:sz="0" w:space="0" w:color="auto"/>
        <w:bottom w:val="none" w:sz="0" w:space="0" w:color="auto"/>
        <w:right w:val="none" w:sz="0" w:space="0" w:color="auto"/>
      </w:divBdr>
    </w:div>
    <w:div w:id="1205172842">
      <w:bodyDiv w:val="1"/>
      <w:marLeft w:val="0"/>
      <w:marRight w:val="0"/>
      <w:marTop w:val="0"/>
      <w:marBottom w:val="0"/>
      <w:divBdr>
        <w:top w:val="none" w:sz="0" w:space="0" w:color="auto"/>
        <w:left w:val="none" w:sz="0" w:space="0" w:color="auto"/>
        <w:bottom w:val="none" w:sz="0" w:space="0" w:color="auto"/>
        <w:right w:val="none" w:sz="0" w:space="0" w:color="auto"/>
      </w:divBdr>
    </w:div>
    <w:div w:id="1325427251">
      <w:bodyDiv w:val="1"/>
      <w:marLeft w:val="0"/>
      <w:marRight w:val="0"/>
      <w:marTop w:val="0"/>
      <w:marBottom w:val="0"/>
      <w:divBdr>
        <w:top w:val="none" w:sz="0" w:space="0" w:color="auto"/>
        <w:left w:val="none" w:sz="0" w:space="0" w:color="auto"/>
        <w:bottom w:val="none" w:sz="0" w:space="0" w:color="auto"/>
        <w:right w:val="none" w:sz="0" w:space="0" w:color="auto"/>
      </w:divBdr>
    </w:div>
    <w:div w:id="1584877137">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 w:id="20782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ericsson.com/ourportfolio/radio-system/energy-efficienc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ericsson.com/en/networks/offerings/4g-evolution/lean-carrier"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s://www.ericsson.com/ourportfolio/radio-system/rural-coverag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6CEFF-96DD-4B1A-A594-DF9FB234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16859</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2018-07-02T09:29:00Z</dcterms:created>
  <dcterms:modified xsi:type="dcterms:W3CDTF">2018-08-10T16:04:00Z</dcterms:modified>
</cp:coreProperties>
</file>